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320" w:after="0"/>
        <w:rPr/>
      </w:pPr>
      <w:r>
        <w:rPr/>
      </w:r>
    </w:p>
    <w:p>
      <w:pPr>
        <w:pStyle w:val="Normal"/>
        <w:spacing w:before="0" w:after="200"/>
        <w:jc w:val="center"/>
        <w:rPr/>
      </w:pPr>
      <w:r>
        <w:rPr>
          <w:rFonts w:eastAsia="Arial" w:cs="Arial"/>
          <w:b/>
          <w:bCs/>
          <w:color w:val="1F3864"/>
          <w:sz w:val="52"/>
          <w:szCs w:val="52"/>
        </w:rPr>
        <w:t>INTERNSHIP REPORT</w:t>
      </w:r>
    </w:p>
    <w:p>
      <w:pPr>
        <w:pStyle w:val="Normal"/>
        <w:spacing w:before="0" w:after="600"/>
        <w:jc w:val="center"/>
        <w:rPr/>
      </w:pPr>
      <w:r>
        <w:rPr>
          <w:rFonts w:eastAsia="Arial" w:cs="Arial"/>
          <w:b w:val="false"/>
          <w:bCs w:val="false"/>
          <w:color w:val="2E75B6"/>
          <w:sz w:val="32"/>
          <w:szCs w:val="32"/>
        </w:rPr>
        <w:t>Lumio Educational Robot Platform</w:t>
      </w:r>
    </w:p>
    <w:p>
      <w:pPr>
        <w:pStyle w:val="Normal"/>
        <w:pBdr>
          <w:top w:val="single" w:sz="6" w:space="1" w:color="2E75B6"/>
        </w:pBdr>
        <w:spacing w:before="0" w:after="400"/>
        <w:jc w:val="center"/>
        <w:rPr/>
      </w:pPr>
      <w:r>
        <w:rPr/>
      </w:r>
    </w:p>
    <w:tbl>
      <w:tblPr>
        <w:tblW w:w="9360" w:type="dxa"/>
        <w:jc w:val="start"/>
        <w:tblInd w:w="0" w:type="dxa"/>
        <w:tblLayout w:type="fixed"/>
        <w:tblCellMar>
          <w:top w:w="0" w:type="dxa"/>
          <w:start w:w="108" w:type="dxa"/>
          <w:bottom w:w="0" w:type="dxa"/>
          <w:end w:w="108" w:type="dxa"/>
        </w:tblCellMar>
      </w:tblPr>
      <w:tblGrid>
        <w:gridCol w:w="2998"/>
        <w:gridCol w:w="6362"/>
      </w:tblGrid>
      <w:tr>
        <w:trPr/>
        <w:tc>
          <w:tcPr>
            <w:tcW w:w="2998" w:type="dxa"/>
            <w:tcBorders/>
          </w:tcPr>
          <w:p>
            <w:pPr>
              <w:pStyle w:val="Normal"/>
              <w:rPr/>
            </w:pPr>
            <w:r>
              <w:rPr>
                <w:rFonts w:eastAsia="Arial" w:cs="Arial"/>
                <w:b/>
                <w:bCs/>
                <w:color w:val="1F3864"/>
                <w:sz w:val="22"/>
                <w:szCs w:val="22"/>
              </w:rPr>
              <w:t>Intern Name</w:t>
            </w:r>
          </w:p>
        </w:tc>
        <w:tc>
          <w:tcPr>
            <w:tcW w:w="6362" w:type="dxa"/>
            <w:tcBorders/>
          </w:tcPr>
          <w:p>
            <w:pPr>
              <w:pStyle w:val="Normal"/>
              <w:rPr/>
            </w:pPr>
            <w:r>
              <w:rPr>
                <w:rFonts w:eastAsia="Arial" w:cs="Arial"/>
                <w:sz w:val="22"/>
                <w:szCs w:val="22"/>
              </w:rPr>
              <w:t>: Sameed</w:t>
            </w:r>
          </w:p>
        </w:tc>
      </w:tr>
      <w:tr>
        <w:trPr/>
        <w:tc>
          <w:tcPr>
            <w:tcW w:w="2998" w:type="dxa"/>
            <w:tcBorders/>
          </w:tcPr>
          <w:p>
            <w:pPr>
              <w:pStyle w:val="Normal"/>
              <w:rPr/>
            </w:pPr>
            <w:r>
              <w:rPr>
                <w:rFonts w:eastAsia="Arial" w:cs="Arial"/>
                <w:b/>
                <w:bCs/>
                <w:color w:val="1F3864"/>
                <w:sz w:val="22"/>
                <w:szCs w:val="22"/>
              </w:rPr>
              <w:t>Organization</w:t>
            </w:r>
          </w:p>
        </w:tc>
        <w:tc>
          <w:tcPr>
            <w:tcW w:w="6362" w:type="dxa"/>
            <w:tcBorders/>
          </w:tcPr>
          <w:p>
            <w:pPr>
              <w:pStyle w:val="Normal"/>
              <w:rPr/>
            </w:pPr>
            <w:r>
              <w:rPr>
                <w:rFonts w:eastAsia="Arial" w:cs="Arial"/>
                <w:sz w:val="22"/>
                <w:szCs w:val="22"/>
              </w:rPr>
              <w:t>: SonyTech IT Company</w:t>
            </w:r>
          </w:p>
        </w:tc>
      </w:tr>
      <w:tr>
        <w:trPr/>
        <w:tc>
          <w:tcPr>
            <w:tcW w:w="2998" w:type="dxa"/>
            <w:tcBorders/>
          </w:tcPr>
          <w:p>
            <w:pPr>
              <w:pStyle w:val="Normal"/>
              <w:rPr/>
            </w:pPr>
            <w:r>
              <w:rPr>
                <w:rFonts w:eastAsia="Arial" w:cs="Arial"/>
                <w:b/>
                <w:bCs/>
                <w:color w:val="1F3864"/>
                <w:sz w:val="22"/>
                <w:szCs w:val="22"/>
              </w:rPr>
              <w:t>Client / Sponsor</w:t>
            </w:r>
          </w:p>
        </w:tc>
        <w:tc>
          <w:tcPr>
            <w:tcW w:w="6362" w:type="dxa"/>
            <w:tcBorders/>
          </w:tcPr>
          <w:p>
            <w:pPr>
              <w:pStyle w:val="Normal"/>
              <w:rPr/>
            </w:pPr>
            <w:r>
              <w:rPr>
                <w:rFonts w:eastAsia="Arial" w:cs="Arial"/>
                <w:sz w:val="22"/>
                <w:szCs w:val="22"/>
              </w:rPr>
              <w:t>: R.A.D.G.T.F Foundation</w:t>
            </w:r>
          </w:p>
        </w:tc>
      </w:tr>
      <w:tr>
        <w:trPr/>
        <w:tc>
          <w:tcPr>
            <w:tcW w:w="2998" w:type="dxa"/>
            <w:tcBorders/>
          </w:tcPr>
          <w:p>
            <w:pPr>
              <w:pStyle w:val="Normal"/>
              <w:rPr/>
            </w:pPr>
            <w:r>
              <w:rPr>
                <w:rFonts w:eastAsia="Arial" w:cs="Arial"/>
                <w:b/>
                <w:bCs/>
                <w:color w:val="1F3864"/>
                <w:sz w:val="22"/>
                <w:szCs w:val="22"/>
              </w:rPr>
              <w:t>Project</w:t>
            </w:r>
          </w:p>
        </w:tc>
        <w:tc>
          <w:tcPr>
            <w:tcW w:w="6362" w:type="dxa"/>
            <w:tcBorders/>
          </w:tcPr>
          <w:p>
            <w:pPr>
              <w:pStyle w:val="Normal"/>
              <w:rPr/>
            </w:pPr>
            <w:r>
              <w:rPr>
                <w:rFonts w:eastAsia="Arial" w:cs="Arial"/>
                <w:sz w:val="22"/>
                <w:szCs w:val="22"/>
              </w:rPr>
              <w:t>: Lumio — Classroom Robot Platform</w:t>
            </w:r>
          </w:p>
        </w:tc>
      </w:tr>
      <w:tr>
        <w:trPr/>
        <w:tc>
          <w:tcPr>
            <w:tcW w:w="2998" w:type="dxa"/>
            <w:tcBorders/>
          </w:tcPr>
          <w:p>
            <w:pPr>
              <w:pStyle w:val="Normal"/>
              <w:rPr/>
            </w:pPr>
            <w:r>
              <w:rPr>
                <w:rFonts w:eastAsia="Arial" w:cs="Arial"/>
                <w:b/>
                <w:bCs/>
                <w:color w:val="1F3864"/>
                <w:sz w:val="22"/>
                <w:szCs w:val="22"/>
              </w:rPr>
              <w:t>Internship Period</w:t>
            </w:r>
          </w:p>
        </w:tc>
        <w:tc>
          <w:tcPr>
            <w:tcW w:w="6362" w:type="dxa"/>
            <w:tcBorders/>
          </w:tcPr>
          <w:p>
            <w:pPr>
              <w:pStyle w:val="Normal"/>
              <w:rPr/>
            </w:pPr>
            <w:r>
              <w:rPr>
                <w:rFonts w:eastAsia="Arial" w:cs="Arial"/>
                <w:sz w:val="22"/>
                <w:szCs w:val="22"/>
              </w:rPr>
              <w:t>: August 11, 2025 – Present (Core: Feb 26, 2026)</w:t>
            </w:r>
          </w:p>
        </w:tc>
      </w:tr>
      <w:tr>
        <w:trPr/>
        <w:tc>
          <w:tcPr>
            <w:tcW w:w="2998" w:type="dxa"/>
            <w:tcBorders/>
          </w:tcPr>
          <w:p>
            <w:pPr>
              <w:pStyle w:val="Normal"/>
              <w:rPr/>
            </w:pPr>
            <w:r>
              <w:rPr>
                <w:rFonts w:eastAsia="Arial" w:cs="Arial"/>
                <w:b/>
                <w:bCs/>
                <w:color w:val="1F3864"/>
                <w:sz w:val="22"/>
                <w:szCs w:val="22"/>
              </w:rPr>
              <w:t>Duration</w:t>
            </w:r>
          </w:p>
        </w:tc>
        <w:tc>
          <w:tcPr>
            <w:tcW w:w="6362" w:type="dxa"/>
            <w:tcBorders/>
          </w:tcPr>
          <w:p>
            <w:pPr>
              <w:pStyle w:val="Normal"/>
              <w:rPr/>
            </w:pPr>
            <w:r>
              <w:rPr>
                <w:rFonts w:eastAsia="Arial" w:cs="Arial"/>
                <w:sz w:val="22"/>
                <w:szCs w:val="22"/>
              </w:rPr>
              <w:t>: 28.5 Weeks (Core) + Ongoing Remote Phase</w:t>
            </w:r>
          </w:p>
        </w:tc>
      </w:tr>
      <w:tr>
        <w:trPr/>
        <w:tc>
          <w:tcPr>
            <w:tcW w:w="2998" w:type="dxa"/>
            <w:tcBorders/>
          </w:tcPr>
          <w:p>
            <w:pPr>
              <w:pStyle w:val="Normal"/>
              <w:rPr/>
            </w:pPr>
            <w:r>
              <w:rPr>
                <w:rFonts w:eastAsia="Arial" w:cs="Arial"/>
                <w:b/>
                <w:bCs/>
                <w:color w:val="1F3864"/>
                <w:sz w:val="22"/>
                <w:szCs w:val="22"/>
              </w:rPr>
              <w:t>Report Date</w:t>
            </w:r>
          </w:p>
        </w:tc>
        <w:tc>
          <w:tcPr>
            <w:tcW w:w="6362" w:type="dxa"/>
            <w:tcBorders/>
          </w:tcPr>
          <w:p>
            <w:pPr>
              <w:pStyle w:val="Normal"/>
              <w:rPr/>
            </w:pPr>
            <w:r>
              <w:rPr>
                <w:rFonts w:eastAsia="Arial" w:cs="Arial"/>
                <w:sz w:val="22"/>
                <w:szCs w:val="22"/>
              </w:rPr>
              <w:t>: April 2026</w:t>
            </w:r>
          </w:p>
        </w:tc>
      </w:tr>
    </w:tbl>
    <w:p>
      <w:pPr>
        <w:pStyle w:val="Normal"/>
        <w:spacing w:before="160" w:after="0"/>
        <w:rPr/>
      </w:pPr>
      <w:r>
        <w:rPr/>
      </w:r>
    </w:p>
    <w:p>
      <w:pPr>
        <w:pStyle w:val="Normal"/>
        <w:pBdr>
          <w:bottom w:val="single" w:sz="6" w:space="1" w:color="2E75B6"/>
        </w:pBdr>
        <w:spacing w:before="0" w:after="400"/>
        <w:jc w:val="center"/>
        <w:rPr/>
      </w:pPr>
      <w:r>
        <w:rPr/>
      </w:r>
    </w:p>
    <w:p>
      <w:pPr>
        <w:pStyle w:val="Normal"/>
        <w:spacing w:before="240" w:after="0"/>
        <w:rPr/>
      </w:pPr>
      <w:r>
        <w:rPr/>
      </w:r>
    </w:p>
    <w:p>
      <w:pPr>
        <w:pStyle w:val="Normal"/>
        <w:spacing w:before="0" w:after="0"/>
        <w:jc w:val="center"/>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color w:val="555555"/>
          <w:sz w:val="22"/>
          <w:szCs w:val="22"/>
        </w:rPr>
        <w:t>Visvesvaraya Technological University, Belagavi – 590 018</w:t>
      </w:r>
    </w:p>
    <w:p>
      <w:pPr>
        <w:pStyle w:val="Heading1"/>
        <w:pBdr>
          <w:bottom w:val="single" w:sz="6" w:space="1" w:color="2E75B6"/>
        </w:pBdr>
        <w:spacing w:before="360" w:after="160"/>
        <w:rPr/>
      </w:pPr>
      <w:r>
        <w:rPr>
          <w:rFonts w:eastAsia="Arial" w:cs="Arial"/>
          <w:b/>
          <w:bCs/>
          <w:color w:val="1F3864"/>
          <w:sz w:val="32"/>
          <w:szCs w:val="32"/>
        </w:rPr>
        <w:t>Certificate</w:t>
      </w:r>
    </w:p>
    <w:p>
      <w:pPr>
        <w:pStyle w:val="Normal"/>
        <w:spacing w:before="160" w:after="0"/>
        <w:rPr/>
      </w:pPr>
      <w:r>
        <w:rPr/>
      </w:r>
    </w:p>
    <w:p>
      <w:pPr>
        <w:pStyle w:val="Normal"/>
        <w:spacing w:before="80" w:after="80"/>
        <w:jc w:val="both"/>
        <w:rPr/>
      </w:pPr>
      <w:r>
        <w:rPr>
          <w:rFonts w:eastAsia="Arial" w:cs="Arial"/>
          <w:sz w:val="22"/>
          <w:szCs w:val="22"/>
        </w:rPr>
        <w:t xml:space="preserve">This is to certify that Mr. Sameed </w:t>
      </w:r>
      <w:r>
        <w:rPr>
          <w:rFonts w:eastAsia="Arial" w:cs="Arial"/>
          <w:sz w:val="22"/>
          <w:szCs w:val="22"/>
        </w:rPr>
        <w:t>Ahmed</w:t>
      </w:r>
      <w:r>
        <w:rPr>
          <w:rFonts w:eastAsia="Arial" w:cs="Arial"/>
          <w:sz w:val="22"/>
          <w:szCs w:val="22"/>
        </w:rPr>
        <w:t xml:space="preserve"> has successfully completed his internship at SonyTech IT Company from August 11, 2025 to </w:t>
      </w:r>
      <w:r>
        <w:rPr>
          <w:rFonts w:eastAsia="Arial" w:cs="Arial"/>
          <w:sz w:val="22"/>
          <w:szCs w:val="22"/>
        </w:rPr>
        <w:t>April 2</w:t>
      </w:r>
      <w:r>
        <w:rPr>
          <w:rFonts w:eastAsia="Arial" w:cs="Arial"/>
          <w:sz w:val="22"/>
          <w:szCs w:val="22"/>
        </w:rPr>
        <w:t xml:space="preserve">, 2026, a period of approximately </w:t>
      </w:r>
      <w:r>
        <w:rPr>
          <w:rFonts w:eastAsia="Arial" w:cs="Arial"/>
          <w:sz w:val="22"/>
          <w:szCs w:val="22"/>
        </w:rPr>
        <w:t>35</w:t>
      </w:r>
      <w:r>
        <w:rPr>
          <w:rFonts w:eastAsia="Arial" w:cs="Arial"/>
          <w:sz w:val="22"/>
          <w:szCs w:val="22"/>
        </w:rPr>
        <w:t xml:space="preserve"> weeks.</w:t>
      </w:r>
    </w:p>
    <w:p>
      <w:pPr>
        <w:pStyle w:val="Normal"/>
        <w:spacing w:before="80" w:after="0"/>
        <w:rPr/>
      </w:pPr>
      <w:r>
        <w:rPr/>
      </w:r>
    </w:p>
    <w:p>
      <w:pPr>
        <w:pStyle w:val="Normal"/>
        <w:spacing w:before="80" w:after="80"/>
        <w:jc w:val="both"/>
        <w:rPr/>
      </w:pPr>
      <w:r>
        <w:rPr>
          <w:rFonts w:eastAsia="Arial" w:cs="Arial"/>
          <w:sz w:val="22"/>
          <w:szCs w:val="22"/>
        </w:rPr>
        <w:t>During the internship, he was assigned to the Lumio Educational Robot Platform project, commissioned by the R.A.D.G.T.F Foundation. He worked independently and as part of the development team, demonstrating strong initiative and technical proficiency across embedded systems firmware, PCB design, software architecture, and quality assurance.</w:t>
      </w:r>
    </w:p>
    <w:p>
      <w:pPr>
        <w:pStyle w:val="Normal"/>
        <w:spacing w:before="80" w:after="0"/>
        <w:rPr/>
      </w:pPr>
      <w:r>
        <w:rPr/>
      </w:r>
    </w:p>
    <w:p>
      <w:pPr>
        <w:pStyle w:val="Normal"/>
        <w:spacing w:before="80" w:after="80"/>
        <w:jc w:val="both"/>
        <w:rPr/>
      </w:pPr>
      <w:r>
        <w:rPr>
          <w:rFonts w:eastAsia="Arial" w:cs="Arial"/>
          <w:sz w:val="22"/>
          <w:szCs w:val="22"/>
        </w:rPr>
        <w:t>His contributions include the complete design and delivery of the Lumio robot platform — from jumper-cable prototype to a multi-revision custom PCB (V1 through V5), along with a production-ready HAL-based firmware stack, a comprehensive test suite, four independent control pathways, and a real-time display and Q&amp;A subsystem. The project was handed over with full documentation and a versioned v1.1.0 release.</w:t>
      </w:r>
    </w:p>
    <w:p>
      <w:pPr>
        <w:pStyle w:val="Normal"/>
        <w:spacing w:before="80" w:after="0"/>
        <w:rPr/>
      </w:pPr>
      <w:r>
        <w:rPr/>
      </w:r>
    </w:p>
    <w:p>
      <w:pPr>
        <w:pStyle w:val="Normal"/>
        <w:spacing w:before="80" w:after="80"/>
        <w:jc w:val="both"/>
        <w:rPr/>
      </w:pPr>
      <w:r>
        <w:rPr>
          <w:rFonts w:eastAsia="Arial" w:cs="Arial"/>
          <w:sz w:val="22"/>
          <w:szCs w:val="22"/>
        </w:rPr>
        <w:t>We wish him the best in his academic and professional pursuits.</w:t>
      </w:r>
    </w:p>
    <w:p>
      <w:pPr>
        <w:pStyle w:val="Normal"/>
        <w:spacing w:before="320" w:after="0"/>
        <w:rPr/>
      </w:pPr>
      <w:r>
        <w:rPr/>
      </w:r>
    </w:p>
    <w:tbl>
      <w:tblPr>
        <w:tblW w:w="9360" w:type="dxa"/>
        <w:jc w:val="start"/>
        <w:tblInd w:w="0" w:type="dxa"/>
        <w:tblLayout w:type="fixed"/>
        <w:tblCellMar>
          <w:top w:w="0" w:type="dxa"/>
          <w:start w:w="108" w:type="dxa"/>
          <w:bottom w:w="0" w:type="dxa"/>
          <w:end w:w="108" w:type="dxa"/>
        </w:tblCellMar>
      </w:tblPr>
      <w:tblGrid>
        <w:gridCol w:w="4680"/>
        <w:gridCol w:w="4680"/>
      </w:tblGrid>
      <w:tr>
        <w:trPr/>
        <w:tc>
          <w:tcPr>
            <w:tcW w:w="4680" w:type="dxa"/>
            <w:tcBorders/>
          </w:tcPr>
          <w:p>
            <w:pPr>
              <w:pStyle w:val="Normal"/>
              <w:rPr/>
            </w:pPr>
            <w:r>
              <w:rPr>
                <w:rFonts w:eastAsia="Arial" w:cs="Arial"/>
                <w:sz w:val="22"/>
                <w:szCs w:val="22"/>
              </w:rPr>
              <w:t>____________________________</w:t>
            </w:r>
          </w:p>
          <w:p>
            <w:pPr>
              <w:pStyle w:val="Normal"/>
              <w:rPr/>
            </w:pPr>
            <w:r>
              <w:rPr>
                <w:rFonts w:eastAsia="Arial" w:cs="Arial"/>
                <w:b/>
                <w:bCs/>
                <w:sz w:val="22"/>
                <w:szCs w:val="22"/>
              </w:rPr>
              <w:t>Supervisor / Manager</w:t>
            </w:r>
          </w:p>
          <w:p>
            <w:pPr>
              <w:pStyle w:val="Normal"/>
              <w:rPr/>
            </w:pPr>
            <w:r>
              <w:rPr>
                <w:rFonts w:eastAsia="Arial" w:cs="Arial"/>
                <w:color w:val="555555"/>
                <w:sz w:val="22"/>
                <w:szCs w:val="22"/>
              </w:rPr>
              <w:t>SonyTech IT Company</w:t>
            </w:r>
          </w:p>
        </w:tc>
        <w:tc>
          <w:tcPr>
            <w:tcW w:w="4680" w:type="dxa"/>
            <w:tcBorders/>
          </w:tcPr>
          <w:p>
            <w:pPr>
              <w:pStyle w:val="Normal"/>
              <w:rPr/>
            </w:pPr>
            <w:r>
              <w:rPr>
                <w:rFonts w:eastAsia="Arial" w:cs="Arial"/>
                <w:sz w:val="22"/>
                <w:szCs w:val="22"/>
              </w:rPr>
              <w:t>____________________________</w:t>
            </w:r>
          </w:p>
          <w:p>
            <w:pPr>
              <w:pStyle w:val="Normal"/>
              <w:rPr/>
            </w:pPr>
            <w:r>
              <w:rPr>
                <w:rFonts w:eastAsia="Arial" w:cs="Arial"/>
                <w:b/>
                <w:bCs/>
                <w:sz w:val="22"/>
                <w:szCs w:val="22"/>
              </w:rPr>
              <w:t>Intern</w:t>
            </w:r>
          </w:p>
          <w:p>
            <w:pPr>
              <w:pStyle w:val="Normal"/>
              <w:rPr/>
            </w:pPr>
            <w:r>
              <w:rPr>
                <w:rFonts w:eastAsia="Arial" w:cs="Arial"/>
                <w:color w:val="555555"/>
                <w:sz w:val="22"/>
                <w:szCs w:val="22"/>
              </w:rPr>
              <w:t>Sameed</w:t>
            </w:r>
          </w:p>
        </w:tc>
      </w:tr>
    </w:tbl>
    <w:p>
      <w:pPr>
        <w:pStyle w:val="Normal"/>
        <w:spacing w:before="160" w:after="0"/>
        <w:rPr/>
      </w:pPr>
      <w:r>
        <w:rPr/>
      </w:r>
    </w:p>
    <w:p>
      <w:pPr>
        <w:pStyle w:val="Normal"/>
        <w:spacing w:before="0" w:after="0"/>
        <w:jc w:val="end"/>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color w:val="777777"/>
          <w:sz w:val="20"/>
          <w:szCs w:val="20"/>
        </w:rPr>
        <w:t>Place &amp; Date: Bengaluru, April 2026</w:t>
      </w:r>
    </w:p>
    <w:p>
      <w:pPr>
        <w:pStyle w:val="Heading1"/>
        <w:pBdr>
          <w:bottom w:val="single" w:sz="6" w:space="1" w:color="2E75B6"/>
        </w:pBdr>
        <w:spacing w:before="360" w:after="160"/>
        <w:rPr/>
      </w:pPr>
      <w:r>
        <w:rPr>
          <w:rFonts w:eastAsia="Arial" w:cs="Arial"/>
          <w:b/>
          <w:bCs/>
          <w:color w:val="1F3864"/>
          <w:sz w:val="32"/>
          <w:szCs w:val="32"/>
        </w:rPr>
        <w:t>Acknowledgements</w:t>
      </w:r>
    </w:p>
    <w:p>
      <w:pPr>
        <w:pStyle w:val="Normal"/>
        <w:spacing w:before="80" w:after="0"/>
        <w:rPr/>
      </w:pPr>
      <w:r>
        <w:rPr/>
      </w:r>
    </w:p>
    <w:p>
      <w:pPr>
        <w:pStyle w:val="Normal"/>
        <w:spacing w:before="80" w:after="80"/>
        <w:jc w:val="both"/>
        <w:rPr/>
      </w:pPr>
      <w:r>
        <w:rPr>
          <w:rFonts w:eastAsia="Arial" w:cs="Arial"/>
          <w:sz w:val="22"/>
          <w:szCs w:val="22"/>
        </w:rPr>
        <w:t>I would like to express my sincere gratitude to SonyTech IT Company for providing me with the opportunity to contribute to a meaningful, technically challenging project over the course of this internship. The experience of working in a professional software and embedded systems environment has been invaluable to my development as an engineer.</w:t>
      </w:r>
    </w:p>
    <w:p>
      <w:pPr>
        <w:pStyle w:val="Normal"/>
        <w:spacing w:before="80" w:after="0"/>
        <w:rPr/>
      </w:pPr>
      <w:r>
        <w:rPr/>
      </w:r>
    </w:p>
    <w:p>
      <w:pPr>
        <w:pStyle w:val="Normal"/>
        <w:spacing w:before="80" w:after="80"/>
        <w:jc w:val="both"/>
        <w:rPr/>
      </w:pPr>
      <w:r>
        <w:rPr>
          <w:rFonts w:eastAsia="Arial" w:cs="Arial"/>
          <w:sz w:val="22"/>
          <w:szCs w:val="22"/>
        </w:rPr>
        <w:t>I am deeply grateful to my supervisors and colleagues at SonyTech for their consistent guidance, constructive feedback, and patience during the early phases of the project. Their support in navigating both technical and professional challenges helped me grow significantly.</w:t>
      </w:r>
    </w:p>
    <w:p>
      <w:pPr>
        <w:pStyle w:val="Normal"/>
        <w:spacing w:before="80" w:after="0"/>
        <w:rPr/>
      </w:pPr>
      <w:r>
        <w:rPr/>
      </w:r>
    </w:p>
    <w:p>
      <w:pPr>
        <w:pStyle w:val="Normal"/>
        <w:spacing w:before="80" w:after="80"/>
        <w:jc w:val="both"/>
        <w:rPr/>
      </w:pPr>
      <w:r>
        <w:rPr>
          <w:rFonts w:eastAsia="Arial" w:cs="Arial"/>
          <w:sz w:val="22"/>
          <w:szCs w:val="22"/>
        </w:rPr>
        <w:t>I extend my thanks to the R.A.D.G.T.F Foundation for the trust they placed in our team by commissioning the Lumio platform, and for their active participation in requirements discussions, prototype reviews, and sign-off sessions. Working directly with a client with a real educational mission was a formative experience that I will carry forward throughout my career.</w:t>
      </w:r>
    </w:p>
    <w:p>
      <w:pPr>
        <w:pStyle w:val="Normal"/>
        <w:spacing w:before="80" w:after="0"/>
        <w:rPr/>
      </w:pPr>
      <w:r>
        <w:rPr/>
      </w:r>
    </w:p>
    <w:p>
      <w:pPr>
        <w:pStyle w:val="Normal"/>
        <w:spacing w:before="80" w:after="80"/>
        <w:jc w:val="both"/>
        <w:rPr/>
      </w:pPr>
      <w:r>
        <w:rPr>
          <w:rFonts w:eastAsia="Arial" w:cs="Arial"/>
          <w:sz w:val="22"/>
          <w:szCs w:val="22"/>
        </w:rPr>
        <w:t>I also thank Visvesvaraya Technological University for encouraging industry-integrated learning that bridges academic knowledge with practical engineering — an approach exemplified by this internship.</w:t>
      </w:r>
    </w:p>
    <w:p>
      <w:pPr>
        <w:pStyle w:val="Normal"/>
        <w:spacing w:before="80" w:after="0"/>
        <w:rPr/>
      </w:pPr>
      <w:r>
        <w:rPr/>
      </w:r>
    </w:p>
    <w:p>
      <w:pPr>
        <w:pStyle w:val="Normal"/>
        <w:spacing w:before="80" w:after="80"/>
        <w:jc w:val="both"/>
        <w:rPr/>
      </w:pPr>
      <w:r>
        <w:rPr>
          <w:rFonts w:eastAsia="Arial" w:cs="Arial"/>
          <w:sz w:val="22"/>
          <w:szCs w:val="22"/>
        </w:rPr>
        <w:t>Finally, I thank my family and peers for their encouragement throughout the duration of this programme.</w:t>
      </w:r>
    </w:p>
    <w:p>
      <w:pPr>
        <w:pStyle w:val="Normal"/>
        <w:spacing w:before="240" w:after="0"/>
        <w:rPr/>
      </w:pPr>
      <w:r>
        <w:rPr/>
      </w:r>
    </w:p>
    <w:p>
      <w:pPr>
        <w:pStyle w:val="Normal"/>
        <w:jc w:val="end"/>
        <w:rPr/>
      </w:pPr>
      <w:r>
        <w:rPr>
          <w:rFonts w:eastAsia="Arial" w:cs="Arial"/>
          <w:b/>
          <w:bCs/>
          <w:sz w:val="22"/>
          <w:szCs w:val="22"/>
        </w:rPr>
        <w:t>Sameed</w:t>
      </w:r>
    </w:p>
    <w:p>
      <w:pPr>
        <w:pStyle w:val="Normal"/>
        <w:spacing w:before="0" w:after="0"/>
        <w:jc w:val="end"/>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color w:val="555555"/>
          <w:sz w:val="22"/>
          <w:szCs w:val="22"/>
        </w:rPr>
        <w:t>April 2026</w:t>
      </w:r>
    </w:p>
    <w:p>
      <w:pPr>
        <w:pStyle w:val="Heading1"/>
        <w:pBdr>
          <w:bottom w:val="single" w:sz="6" w:space="1" w:color="2E75B6"/>
        </w:pBdr>
        <w:spacing w:before="360" w:after="160"/>
        <w:rPr/>
      </w:pPr>
      <w:r>
        <w:rPr>
          <w:rFonts w:eastAsia="Arial" w:cs="Arial"/>
          <w:b/>
          <w:bCs/>
          <w:color w:val="1F3864"/>
          <w:sz w:val="32"/>
          <w:szCs w:val="32"/>
        </w:rPr>
        <w:t>Index of Contents</w:t>
      </w:r>
    </w:p>
    <w:p>
      <w:pPr>
        <w:pStyle w:val="Normal"/>
        <w:spacing w:before="80" w:after="0"/>
        <w:rPr/>
      </w:pPr>
      <w:r>
        <w:rPr/>
      </w:r>
    </w:p>
    <w:tbl>
      <w:tblPr>
        <w:tblW w:w="9360" w:type="dxa"/>
        <w:jc w:val="start"/>
        <w:tblInd w:w="0" w:type="dxa"/>
        <w:tblLayout w:type="fixed"/>
        <w:tblCellMar>
          <w:top w:w="0" w:type="dxa"/>
          <w:start w:w="108" w:type="dxa"/>
          <w:bottom w:w="0" w:type="dxa"/>
          <w:end w:w="108" w:type="dxa"/>
        </w:tblCellMar>
      </w:tblPr>
      <w:tblGrid>
        <w:gridCol w:w="731"/>
        <w:gridCol w:w="6686"/>
        <w:gridCol w:w="1943"/>
      </w:tblGrid>
      <w:tr>
        <w:trPr>
          <w:trHeight w:val="1015" w:hRule="atLeast"/>
        </w:trPr>
        <w:tc>
          <w:tcPr>
            <w:tcW w:w="731" w:type="dxa"/>
            <w:tcBorders/>
            <w:vAlign w:val="center"/>
          </w:tcPr>
          <w:p>
            <w:pPr>
              <w:pStyle w:val="Normal"/>
              <w:rPr>
                <w:rFonts w:eastAsia="Arial" w:cs="Arial"/>
                <w:b/>
                <w:bCs/>
                <w:color w:val="2E75B6"/>
                <w:sz w:val="30"/>
                <w:szCs w:val="30"/>
              </w:rPr>
            </w:pPr>
            <w:r>
              <w:rPr>
                <w:rFonts w:eastAsia="Arial" w:cs="Arial"/>
                <w:b/>
                <w:bCs/>
                <w:color w:val="2E75B6"/>
                <w:sz w:val="30"/>
                <w:szCs w:val="30"/>
              </w:rPr>
              <w:t>i</w:t>
            </w:r>
          </w:p>
        </w:tc>
        <w:tc>
          <w:tcPr>
            <w:tcW w:w="6686" w:type="dxa"/>
            <w:tcBorders/>
            <w:vAlign w:val="center"/>
          </w:tcPr>
          <w:p>
            <w:pPr>
              <w:pStyle w:val="Normal"/>
              <w:jc w:val="start"/>
              <w:rPr>
                <w:sz w:val="28"/>
                <w:szCs w:val="28"/>
              </w:rPr>
            </w:pPr>
            <w:r>
              <w:rPr>
                <w:rFonts w:eastAsia="Arial" w:cs="Arial"/>
                <w:sz w:val="28"/>
                <w:szCs w:val="28"/>
              </w:rPr>
              <w:t>Cover Page</w:t>
            </w:r>
          </w:p>
        </w:tc>
        <w:tc>
          <w:tcPr>
            <w:tcW w:w="1943" w:type="dxa"/>
            <w:tcBorders/>
            <w:vAlign w:val="center"/>
          </w:tcPr>
          <w:p>
            <w:pPr>
              <w:pStyle w:val="Normal"/>
              <w:jc w:val="center"/>
              <w:rPr>
                <w:sz w:val="28"/>
                <w:szCs w:val="28"/>
              </w:rPr>
            </w:pPr>
            <w:r>
              <w:rPr>
                <w:sz w:val="28"/>
                <w:szCs w:val="28"/>
              </w:rPr>
            </w:r>
          </w:p>
        </w:tc>
      </w:tr>
      <w:tr>
        <w:trPr>
          <w:trHeight w:val="1026" w:hRule="atLeast"/>
        </w:trPr>
        <w:tc>
          <w:tcPr>
            <w:tcW w:w="731" w:type="dxa"/>
            <w:tcBorders/>
            <w:vAlign w:val="center"/>
          </w:tcPr>
          <w:p>
            <w:pPr>
              <w:pStyle w:val="Normal"/>
              <w:rPr>
                <w:sz w:val="30"/>
                <w:szCs w:val="30"/>
              </w:rPr>
            </w:pPr>
            <w:r>
              <w:rPr>
                <w:rFonts w:eastAsia="Arial" w:cs="Arial"/>
                <w:b/>
                <w:bCs/>
                <w:color w:val="2E75B6"/>
                <w:sz w:val="30"/>
                <w:szCs w:val="30"/>
              </w:rPr>
              <w:t>ii</w:t>
            </w:r>
          </w:p>
        </w:tc>
        <w:tc>
          <w:tcPr>
            <w:tcW w:w="6686" w:type="dxa"/>
            <w:tcBorders/>
            <w:vAlign w:val="center"/>
          </w:tcPr>
          <w:p>
            <w:pPr>
              <w:pStyle w:val="Normal"/>
              <w:jc w:val="start"/>
              <w:rPr>
                <w:sz w:val="28"/>
                <w:szCs w:val="28"/>
              </w:rPr>
            </w:pPr>
            <w:r>
              <w:rPr>
                <w:rFonts w:eastAsia="Arial" w:cs="Arial"/>
                <w:sz w:val="28"/>
                <w:szCs w:val="28"/>
              </w:rPr>
              <w:t>Certificate</w:t>
            </w:r>
          </w:p>
        </w:tc>
        <w:tc>
          <w:tcPr>
            <w:tcW w:w="1943" w:type="dxa"/>
            <w:tcBorders/>
            <w:vAlign w:val="center"/>
          </w:tcPr>
          <w:p>
            <w:pPr>
              <w:pStyle w:val="Normal"/>
              <w:rPr>
                <w:sz w:val="28"/>
                <w:szCs w:val="28"/>
              </w:rPr>
            </w:pPr>
            <w:r>
              <w:rPr>
                <w:sz w:val="28"/>
                <w:szCs w:val="28"/>
              </w:rPr>
            </w:r>
          </w:p>
        </w:tc>
      </w:tr>
      <w:tr>
        <w:trPr>
          <w:trHeight w:val="960" w:hRule="atLeast"/>
        </w:trPr>
        <w:tc>
          <w:tcPr>
            <w:tcW w:w="731" w:type="dxa"/>
            <w:tcBorders/>
            <w:vAlign w:val="center"/>
          </w:tcPr>
          <w:p>
            <w:pPr>
              <w:pStyle w:val="Normal"/>
              <w:rPr>
                <w:sz w:val="30"/>
                <w:szCs w:val="30"/>
              </w:rPr>
            </w:pPr>
            <w:r>
              <w:rPr>
                <w:rFonts w:eastAsia="Arial" w:cs="Arial"/>
                <w:b/>
                <w:bCs/>
                <w:color w:val="2E75B6"/>
                <w:sz w:val="30"/>
                <w:szCs w:val="30"/>
              </w:rPr>
              <w:t>iii</w:t>
            </w:r>
          </w:p>
        </w:tc>
        <w:tc>
          <w:tcPr>
            <w:tcW w:w="6686" w:type="dxa"/>
            <w:tcBorders/>
            <w:vAlign w:val="center"/>
          </w:tcPr>
          <w:p>
            <w:pPr>
              <w:pStyle w:val="Normal"/>
              <w:jc w:val="start"/>
              <w:rPr>
                <w:sz w:val="28"/>
                <w:szCs w:val="28"/>
              </w:rPr>
            </w:pPr>
            <w:r>
              <w:rPr>
                <w:rFonts w:eastAsia="Arial" w:cs="Arial"/>
                <w:sz w:val="28"/>
                <w:szCs w:val="28"/>
              </w:rPr>
              <w:t>Acknowledgements</w:t>
            </w:r>
          </w:p>
        </w:tc>
        <w:tc>
          <w:tcPr>
            <w:tcW w:w="1943" w:type="dxa"/>
            <w:tcBorders/>
            <w:vAlign w:val="center"/>
          </w:tcPr>
          <w:p>
            <w:pPr>
              <w:pStyle w:val="Normal"/>
              <w:rPr>
                <w:sz w:val="28"/>
                <w:szCs w:val="28"/>
              </w:rPr>
            </w:pPr>
            <w:r>
              <w:rPr>
                <w:sz w:val="28"/>
                <w:szCs w:val="28"/>
              </w:rPr>
            </w:r>
          </w:p>
        </w:tc>
      </w:tr>
      <w:tr>
        <w:trPr>
          <w:trHeight w:val="1025" w:hRule="atLeast"/>
        </w:trPr>
        <w:tc>
          <w:tcPr>
            <w:tcW w:w="731" w:type="dxa"/>
            <w:tcBorders/>
            <w:vAlign w:val="center"/>
          </w:tcPr>
          <w:p>
            <w:pPr>
              <w:pStyle w:val="Normal"/>
              <w:rPr>
                <w:sz w:val="30"/>
                <w:szCs w:val="30"/>
              </w:rPr>
            </w:pPr>
            <w:r>
              <w:rPr>
                <w:rFonts w:eastAsia="Arial" w:cs="Arial"/>
                <w:b/>
                <w:bCs/>
                <w:color w:val="2E75B6"/>
                <w:sz w:val="30"/>
                <w:szCs w:val="30"/>
              </w:rPr>
              <w:t>iv</w:t>
            </w:r>
          </w:p>
        </w:tc>
        <w:tc>
          <w:tcPr>
            <w:tcW w:w="6686" w:type="dxa"/>
            <w:tcBorders/>
            <w:vAlign w:val="center"/>
          </w:tcPr>
          <w:p>
            <w:pPr>
              <w:pStyle w:val="Normal"/>
              <w:jc w:val="start"/>
              <w:rPr>
                <w:sz w:val="28"/>
                <w:szCs w:val="28"/>
              </w:rPr>
            </w:pPr>
            <w:r>
              <w:rPr>
                <w:rFonts w:eastAsia="Arial" w:cs="Arial"/>
                <w:sz w:val="28"/>
                <w:szCs w:val="28"/>
              </w:rPr>
              <w:t>Index of Contents</w:t>
            </w:r>
          </w:p>
        </w:tc>
        <w:tc>
          <w:tcPr>
            <w:tcW w:w="1943" w:type="dxa"/>
            <w:tcBorders/>
            <w:vAlign w:val="center"/>
          </w:tcPr>
          <w:p>
            <w:pPr>
              <w:pStyle w:val="Normal"/>
              <w:rPr>
                <w:sz w:val="28"/>
                <w:szCs w:val="28"/>
              </w:rPr>
            </w:pPr>
            <w:r>
              <w:rPr>
                <w:sz w:val="28"/>
                <w:szCs w:val="28"/>
              </w:rPr>
            </w:r>
          </w:p>
        </w:tc>
      </w:tr>
      <w:tr>
        <w:trPr>
          <w:trHeight w:val="1015" w:hRule="atLeast"/>
        </w:trPr>
        <w:tc>
          <w:tcPr>
            <w:tcW w:w="731" w:type="dxa"/>
            <w:tcBorders/>
            <w:vAlign w:val="center"/>
          </w:tcPr>
          <w:p>
            <w:pPr>
              <w:pStyle w:val="Normal"/>
              <w:rPr>
                <w:sz w:val="30"/>
                <w:szCs w:val="30"/>
              </w:rPr>
            </w:pPr>
            <w:r>
              <w:rPr>
                <w:rFonts w:eastAsia="Arial" w:cs="Arial"/>
                <w:b/>
                <w:bCs/>
                <w:color w:val="2E75B6"/>
                <w:sz w:val="30"/>
                <w:szCs w:val="30"/>
              </w:rPr>
              <w:t>v</w:t>
            </w:r>
          </w:p>
        </w:tc>
        <w:tc>
          <w:tcPr>
            <w:tcW w:w="6686" w:type="dxa"/>
            <w:tcBorders/>
            <w:vAlign w:val="center"/>
          </w:tcPr>
          <w:p>
            <w:pPr>
              <w:pStyle w:val="Normal"/>
              <w:jc w:val="start"/>
              <w:rPr>
                <w:sz w:val="28"/>
                <w:szCs w:val="28"/>
              </w:rPr>
            </w:pPr>
            <w:r>
              <w:rPr>
                <w:rFonts w:eastAsia="Arial" w:cs="Arial"/>
                <w:sz w:val="28"/>
                <w:szCs w:val="28"/>
              </w:rPr>
              <w:t>About the Organization</w:t>
            </w:r>
          </w:p>
        </w:tc>
        <w:tc>
          <w:tcPr>
            <w:tcW w:w="1943" w:type="dxa"/>
            <w:tcBorders/>
            <w:vAlign w:val="center"/>
          </w:tcPr>
          <w:p>
            <w:pPr>
              <w:pStyle w:val="Normal"/>
              <w:rPr>
                <w:sz w:val="28"/>
                <w:szCs w:val="28"/>
              </w:rPr>
            </w:pPr>
            <w:r>
              <w:rPr>
                <w:sz w:val="28"/>
                <w:szCs w:val="28"/>
              </w:rPr>
            </w:r>
          </w:p>
        </w:tc>
      </w:tr>
      <w:tr>
        <w:trPr>
          <w:trHeight w:val="1080" w:hRule="atLeast"/>
        </w:trPr>
        <w:tc>
          <w:tcPr>
            <w:tcW w:w="731" w:type="dxa"/>
            <w:tcBorders/>
            <w:vAlign w:val="center"/>
          </w:tcPr>
          <w:p>
            <w:pPr>
              <w:pStyle w:val="Normal"/>
              <w:rPr>
                <w:sz w:val="30"/>
                <w:szCs w:val="30"/>
              </w:rPr>
            </w:pPr>
            <w:r>
              <w:rPr>
                <w:rFonts w:eastAsia="Arial" w:cs="Arial"/>
                <w:b/>
                <w:bCs/>
                <w:color w:val="2E75B6"/>
                <w:sz w:val="30"/>
                <w:szCs w:val="30"/>
              </w:rPr>
              <w:t>vi</w:t>
            </w:r>
          </w:p>
        </w:tc>
        <w:tc>
          <w:tcPr>
            <w:tcW w:w="6686" w:type="dxa"/>
            <w:tcBorders/>
            <w:vAlign w:val="center"/>
          </w:tcPr>
          <w:p>
            <w:pPr>
              <w:pStyle w:val="Normal"/>
              <w:jc w:val="start"/>
              <w:rPr>
                <w:sz w:val="28"/>
                <w:szCs w:val="28"/>
              </w:rPr>
            </w:pPr>
            <w:r>
              <w:rPr>
                <w:rFonts w:eastAsia="Arial" w:cs="Arial"/>
                <w:sz w:val="28"/>
                <w:szCs w:val="28"/>
              </w:rPr>
              <w:t>Objectives of Internship</w:t>
            </w:r>
          </w:p>
        </w:tc>
        <w:tc>
          <w:tcPr>
            <w:tcW w:w="1943" w:type="dxa"/>
            <w:tcBorders/>
            <w:vAlign w:val="center"/>
          </w:tcPr>
          <w:p>
            <w:pPr>
              <w:pStyle w:val="Normal"/>
              <w:rPr>
                <w:sz w:val="28"/>
                <w:szCs w:val="28"/>
              </w:rPr>
            </w:pPr>
            <w:r>
              <w:rPr>
                <w:sz w:val="28"/>
                <w:szCs w:val="28"/>
              </w:rPr>
            </w:r>
          </w:p>
        </w:tc>
      </w:tr>
      <w:tr>
        <w:trPr>
          <w:trHeight w:val="1026" w:hRule="atLeast"/>
        </w:trPr>
        <w:tc>
          <w:tcPr>
            <w:tcW w:w="731" w:type="dxa"/>
            <w:tcBorders/>
            <w:vAlign w:val="center"/>
          </w:tcPr>
          <w:p>
            <w:pPr>
              <w:pStyle w:val="Normal"/>
              <w:rPr>
                <w:sz w:val="30"/>
                <w:szCs w:val="30"/>
              </w:rPr>
            </w:pPr>
            <w:r>
              <w:rPr>
                <w:rFonts w:eastAsia="Arial" w:cs="Arial"/>
                <w:b/>
                <w:bCs/>
                <w:color w:val="2E75B6"/>
                <w:sz w:val="30"/>
                <w:szCs w:val="30"/>
              </w:rPr>
              <w:t>vii</w:t>
            </w:r>
          </w:p>
        </w:tc>
        <w:tc>
          <w:tcPr>
            <w:tcW w:w="6686" w:type="dxa"/>
            <w:tcBorders/>
            <w:vAlign w:val="center"/>
          </w:tcPr>
          <w:p>
            <w:pPr>
              <w:pStyle w:val="Normal"/>
              <w:jc w:val="start"/>
              <w:rPr>
                <w:sz w:val="28"/>
                <w:szCs w:val="28"/>
              </w:rPr>
            </w:pPr>
            <w:r>
              <w:rPr>
                <w:rFonts w:eastAsia="Arial" w:cs="Arial"/>
                <w:sz w:val="28"/>
                <w:szCs w:val="28"/>
              </w:rPr>
              <w:t>Learning Experiences</w:t>
            </w:r>
          </w:p>
        </w:tc>
        <w:tc>
          <w:tcPr>
            <w:tcW w:w="1943" w:type="dxa"/>
            <w:tcBorders/>
            <w:vAlign w:val="center"/>
          </w:tcPr>
          <w:p>
            <w:pPr>
              <w:pStyle w:val="Normal"/>
              <w:rPr>
                <w:sz w:val="28"/>
                <w:szCs w:val="28"/>
              </w:rPr>
            </w:pPr>
            <w:r>
              <w:rPr>
                <w:sz w:val="28"/>
                <w:szCs w:val="28"/>
              </w:rPr>
            </w:r>
          </w:p>
        </w:tc>
      </w:tr>
      <w:tr>
        <w:trPr>
          <w:trHeight w:val="1068" w:hRule="atLeast"/>
        </w:trPr>
        <w:tc>
          <w:tcPr>
            <w:tcW w:w="731" w:type="dxa"/>
            <w:tcBorders/>
            <w:vAlign w:val="center"/>
          </w:tcPr>
          <w:p>
            <w:pPr>
              <w:pStyle w:val="Normal"/>
              <w:rPr>
                <w:sz w:val="30"/>
                <w:szCs w:val="30"/>
              </w:rPr>
            </w:pPr>
            <w:r>
              <w:rPr>
                <w:rFonts w:eastAsia="Arial" w:cs="Arial"/>
                <w:b/>
                <w:bCs/>
                <w:color w:val="2E75B6"/>
                <w:sz w:val="30"/>
                <w:szCs w:val="30"/>
              </w:rPr>
              <w:t>viii</w:t>
            </w:r>
          </w:p>
        </w:tc>
        <w:tc>
          <w:tcPr>
            <w:tcW w:w="6686" w:type="dxa"/>
            <w:tcBorders/>
            <w:vAlign w:val="center"/>
          </w:tcPr>
          <w:p>
            <w:pPr>
              <w:pStyle w:val="Normal"/>
              <w:jc w:val="start"/>
              <w:rPr>
                <w:sz w:val="28"/>
                <w:szCs w:val="28"/>
              </w:rPr>
            </w:pPr>
            <w:r>
              <w:rPr>
                <w:rFonts w:eastAsia="Arial" w:cs="Arial"/>
                <w:sz w:val="28"/>
                <w:szCs w:val="28"/>
              </w:rPr>
              <w:t>Learning Outcomes</w:t>
            </w:r>
          </w:p>
        </w:tc>
        <w:tc>
          <w:tcPr>
            <w:tcW w:w="1943" w:type="dxa"/>
            <w:tcBorders/>
            <w:vAlign w:val="center"/>
          </w:tcPr>
          <w:p>
            <w:pPr>
              <w:pStyle w:val="Normal"/>
              <w:rPr>
                <w:sz w:val="28"/>
                <w:szCs w:val="28"/>
              </w:rPr>
            </w:pPr>
            <w:r>
              <w:rPr>
                <w:sz w:val="28"/>
                <w:szCs w:val="28"/>
              </w:rPr>
            </w:r>
          </w:p>
        </w:tc>
      </w:tr>
      <w:tr>
        <w:trPr>
          <w:trHeight w:val="1080" w:hRule="atLeast"/>
        </w:trPr>
        <w:tc>
          <w:tcPr>
            <w:tcW w:w="731" w:type="dxa"/>
            <w:tcBorders/>
            <w:vAlign w:val="center"/>
          </w:tcPr>
          <w:p>
            <w:pPr>
              <w:pStyle w:val="Normal"/>
              <w:rPr>
                <w:sz w:val="30"/>
                <w:szCs w:val="30"/>
              </w:rPr>
            </w:pPr>
            <w:r>
              <w:rPr>
                <w:rFonts w:eastAsia="Arial" w:cs="Arial"/>
                <w:b/>
                <w:bCs/>
                <w:color w:val="2E75B6"/>
                <w:sz w:val="30"/>
                <w:szCs w:val="30"/>
              </w:rPr>
              <w:t>ix</w:t>
            </w:r>
          </w:p>
        </w:tc>
        <w:tc>
          <w:tcPr>
            <w:tcW w:w="6686" w:type="dxa"/>
            <w:tcBorders/>
            <w:vAlign w:val="center"/>
          </w:tcPr>
          <w:p>
            <w:pPr>
              <w:pStyle w:val="Normal"/>
              <w:jc w:val="start"/>
              <w:rPr>
                <w:sz w:val="28"/>
                <w:szCs w:val="28"/>
              </w:rPr>
            </w:pPr>
            <w:r>
              <w:rPr>
                <w:rFonts w:eastAsia="Arial" w:cs="Arial"/>
                <w:sz w:val="28"/>
                <w:szCs w:val="28"/>
              </w:rPr>
              <w:t>Conclusion / Summary</w:t>
            </w:r>
          </w:p>
        </w:tc>
        <w:tc>
          <w:tcPr>
            <w:tcW w:w="1943" w:type="dxa"/>
            <w:tcBorders/>
            <w:vAlign w:val="center"/>
          </w:tcPr>
          <w:p>
            <w:pPr>
              <w:pStyle w:val="Normal"/>
              <w:rPr>
                <w:sz w:val="28"/>
                <w:szCs w:val="28"/>
              </w:rPr>
            </w:pPr>
            <w:r>
              <w:rPr>
                <w:sz w:val="28"/>
                <w:szCs w:val="28"/>
              </w:rPr>
            </w:r>
          </w:p>
        </w:tc>
      </w:tr>
      <w:tr>
        <w:trPr>
          <w:trHeight w:val="1189" w:hRule="atLeast"/>
        </w:trPr>
        <w:tc>
          <w:tcPr>
            <w:tcW w:w="731" w:type="dxa"/>
            <w:tcBorders/>
            <w:vAlign w:val="center"/>
          </w:tcPr>
          <w:p>
            <w:pPr>
              <w:pStyle w:val="Normal"/>
              <w:rPr>
                <w:sz w:val="30"/>
                <w:szCs w:val="30"/>
              </w:rPr>
            </w:pPr>
            <w:r>
              <w:rPr>
                <w:rFonts w:eastAsia="Arial" w:cs="Arial"/>
                <w:b/>
                <w:bCs/>
                <w:color w:val="2E75B6"/>
                <w:sz w:val="30"/>
                <w:szCs w:val="30"/>
              </w:rPr>
              <w:t>x</w:t>
            </w:r>
          </w:p>
        </w:tc>
        <w:tc>
          <w:tcPr>
            <w:tcW w:w="6686" w:type="dxa"/>
            <w:tcBorders/>
            <w:vAlign w:val="center"/>
          </w:tcPr>
          <w:p>
            <w:pPr>
              <w:pStyle w:val="Normal"/>
              <w:jc w:val="start"/>
              <w:rPr>
                <w:sz w:val="28"/>
                <w:szCs w:val="28"/>
              </w:rPr>
            </w:pPr>
            <w:r>
              <w:rPr>
                <w:rFonts w:eastAsia="Arial" w:cs="Arial"/>
                <w:sz w:val="28"/>
                <w:szCs w:val="28"/>
              </w:rPr>
              <w:t>Attachments</w:t>
            </w:r>
          </w:p>
        </w:tc>
        <w:tc>
          <w:tcPr>
            <w:tcW w:w="1943" w:type="dxa"/>
            <w:tcBorders/>
            <w:vAlign w:val="center"/>
          </w:tcPr>
          <w:p>
            <w:pPr>
              <w:pStyle w:val="Normal"/>
              <w:rPr>
                <w:sz w:val="28"/>
                <w:szCs w:val="28"/>
              </w:rPr>
            </w:pPr>
            <w:r>
              <w:rPr>
                <w:sz w:val="28"/>
                <w:szCs w:val="28"/>
              </w:rPr>
            </w:r>
          </w:p>
        </w:tc>
      </w:tr>
    </w:tbl>
    <w:p>
      <w:pPr>
        <w:sectPr>
          <w:type w:val="nextPage"/>
          <w:pgSz w:w="11906" w:h="16838"/>
          <w:pgMar w:left="1440" w:right="1440" w:gutter="0" w:header="0" w:top="1440" w:footer="0" w:bottom="1440"/>
          <w:pgNumType w:fmt="decimal"/>
          <w:formProt w:val="false"/>
          <w:textDirection w:val="lrTb"/>
          <w:docGrid w:type="default" w:linePitch="360" w:charSpace="0"/>
        </w:sectPr>
      </w:pPr>
    </w:p>
    <w:p>
      <w:pPr>
        <w:pStyle w:val="Heading1"/>
        <w:pBdr>
          <w:bottom w:val="single" w:sz="6" w:space="1" w:color="2E75B6"/>
        </w:pBdr>
        <w:spacing w:before="360" w:after="160"/>
        <w:rPr/>
      </w:pPr>
      <w:r>
        <w:rPr>
          <w:rFonts w:eastAsia="Arial" w:cs="Arial"/>
          <w:b/>
          <w:bCs/>
          <w:color w:val="1F3864"/>
          <w:sz w:val="32"/>
          <w:szCs w:val="32"/>
        </w:rPr>
        <w:t>About the Organization</w:t>
      </w:r>
    </w:p>
    <w:p>
      <w:pPr>
        <w:pStyle w:val="Heading2"/>
        <w:spacing w:before="240" w:after="120"/>
        <w:rPr/>
      </w:pPr>
      <w:r>
        <w:rPr>
          <w:rFonts w:eastAsia="Arial" w:cs="Arial"/>
          <w:b/>
          <w:bCs/>
          <w:color w:val="2E5797"/>
          <w:sz w:val="26"/>
          <w:szCs w:val="26"/>
        </w:rPr>
        <w:t>SonyTech IT Company</w:t>
      </w:r>
    </w:p>
    <w:p>
      <w:pPr>
        <w:pStyle w:val="Normal"/>
        <w:spacing w:before="80" w:after="80"/>
        <w:jc w:val="both"/>
        <w:rPr/>
      </w:pPr>
      <w:r>
        <w:rPr>
          <w:rFonts w:eastAsia="Arial" w:cs="Arial"/>
          <w:sz w:val="22"/>
          <w:szCs w:val="22"/>
        </w:rPr>
        <w:t>SonyTech IT Company is a technology solutions firm specialising in software engineering, embedded systems development, and educational technology. The company operates across multiple domains, providing both in-house software products and client-commissioned engineering services. Internally, SonyTech follows professional software development practices including structured version control, code review workflows, and documented software delivery processes.</w:t>
      </w:r>
    </w:p>
    <w:p>
      <w:pPr>
        <w:pStyle w:val="Normal"/>
        <w:spacing w:before="80" w:after="0"/>
        <w:rPr/>
      </w:pPr>
      <w:r>
        <w:rPr/>
      </w:r>
    </w:p>
    <w:p>
      <w:pPr>
        <w:pStyle w:val="Normal"/>
        <w:spacing w:before="80" w:after="80"/>
        <w:jc w:val="both"/>
        <w:rPr/>
      </w:pPr>
      <w:r>
        <w:rPr>
          <w:rFonts w:eastAsia="Arial" w:cs="Arial"/>
          <w:sz w:val="22"/>
          <w:szCs w:val="22"/>
        </w:rPr>
        <w:t>The company's engineering teams work on a range of products — from web-based educational dashboards (such as the EduTrack platform) to fully custom embedded robotics systems. SonyTech's commitment to quality engineering is reflected in its adoption of test-driven development, systematic dependency management, and structured project handover procedures.</w:t>
      </w:r>
    </w:p>
    <w:p>
      <w:pPr>
        <w:pStyle w:val="Normal"/>
        <w:spacing w:before="80" w:after="0"/>
        <w:rPr/>
      </w:pPr>
      <w:r>
        <w:rPr/>
      </w:r>
    </w:p>
    <w:p>
      <w:pPr>
        <w:pStyle w:val="Heading2"/>
        <w:spacing w:before="240" w:after="120"/>
        <w:rPr/>
      </w:pPr>
      <w:r>
        <w:rPr>
          <w:rFonts w:eastAsia="Arial" w:cs="Arial"/>
          <w:b/>
          <w:bCs/>
          <w:color w:val="2E5797"/>
          <w:sz w:val="26"/>
          <w:szCs w:val="26"/>
        </w:rPr>
        <w:t>The R.A.D.G.T.F Foundation</w:t>
      </w:r>
    </w:p>
    <w:p>
      <w:pPr>
        <w:pStyle w:val="Normal"/>
        <w:spacing w:before="80" w:after="80"/>
        <w:jc w:val="both"/>
        <w:rPr/>
      </w:pPr>
      <w:r>
        <w:rPr>
          <w:rFonts w:eastAsia="Arial" w:cs="Arial"/>
          <w:sz w:val="22"/>
          <w:szCs w:val="22"/>
        </w:rPr>
        <w:t>The R.A.D.G.T.F Foundation is an educational non-profit organisation focused on developing innovative tools for classroom learning. As the commissioning client for the Lumio project, the Foundation worked closely with SonyTech to define requirements, review prototypes, and guide the direction of the educational robot platform. Their emphasis on student engagement, safety, and ease of classroom deployment directly shaped the technical and UX priorities of the Lumio system.</w:t>
      </w:r>
    </w:p>
    <w:p>
      <w:pPr>
        <w:pStyle w:val="Normal"/>
        <w:spacing w:before="80" w:after="0"/>
        <w:rPr/>
      </w:pPr>
      <w:r>
        <w:rPr/>
      </w:r>
    </w:p>
    <w:p>
      <w:pPr>
        <w:pStyle w:val="Heading2"/>
        <w:spacing w:before="240" w:after="120"/>
        <w:rPr/>
      </w:pPr>
      <w:r>
        <w:rPr>
          <w:rFonts w:eastAsia="Arial" w:cs="Arial"/>
          <w:b/>
          <w:bCs/>
          <w:color w:val="2E5797"/>
          <w:sz w:val="26"/>
          <w:szCs w:val="26"/>
        </w:rPr>
        <w:t>The Lumio Project</w:t>
      </w:r>
    </w:p>
    <w:p>
      <w:pPr>
        <w:pStyle w:val="Normal"/>
        <w:spacing w:before="80" w:after="80"/>
        <w:jc w:val="both"/>
        <w:rPr/>
      </w:pPr>
      <w:r>
        <w:rPr>
          <w:rFonts w:eastAsia="Arial" w:cs="Arial"/>
          <w:sz w:val="22"/>
          <w:szCs w:val="22"/>
        </w:rPr>
        <w:t>Lumio is an educational classroom robot platform designed to serve as an interactive, programmable learning companion in school environments. The final platform uses a full-size Raspberry Pi 5 — chosen for native UPS support via the DFRobot UPS Module for Raspberry Pi 5, ready HAT access, and straightforward bring-up — connected to the custom Lumio V2 PCB via a 40-pin GPIO extension ribbon cable that delivers all SPI, I2C, UART, PWM, and GPIO signals across the ribbon. The platform integrates motor drivers, sensor arrays, a DSI display, an RP2040 co-processor, and an optional AI voice interface, with a multi-layered software stack supporting four independent control pathways: Google Sheets command interface, Infrared remote, Bluetooth, and WiFi web panel. On-system power is managed by the DFRobot UPS Module for Raspberry Pi 5, providing battery-backed operation without additional power circuitry on the Lumio board itself.</w:t>
      </w:r>
    </w:p>
    <w:p>
      <w:pPr>
        <w:pStyle w:val="Normal"/>
        <w:spacing w:before="80" w:after="0"/>
        <w:rPr/>
      </w:pPr>
      <w:r>
        <w:rPr/>
      </w:r>
    </w:p>
    <w:p>
      <w:pPr>
        <w:pStyle w:val="Normal"/>
        <w:spacing w:before="80" w:after="0"/>
        <w:jc w:val="both"/>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sz w:val="22"/>
          <w:szCs w:val="22"/>
        </w:rPr>
        <w:t>The project was commissioned by the R.A.D.G.T.F Foundation and executed entirely by the intern over the 28.5-week internship period, spanning prototype construction, PCB design through five hardware revisions, firmware development, test suite construction, and final handover.</w:t>
      </w:r>
    </w:p>
    <w:p>
      <w:pPr>
        <w:pStyle w:val="Heading1"/>
        <w:pBdr>
          <w:bottom w:val="single" w:sz="6" w:space="1" w:color="2E75B6"/>
        </w:pBdr>
        <w:spacing w:before="360" w:after="160"/>
        <w:rPr/>
      </w:pPr>
      <w:r>
        <w:rPr>
          <w:rFonts w:eastAsia="Arial" w:cs="Arial"/>
          <w:b/>
          <w:bCs/>
          <w:color w:val="1F3864"/>
          <w:sz w:val="32"/>
          <w:szCs w:val="32"/>
        </w:rPr>
        <w:t>Objectives of Internship</w:t>
      </w:r>
    </w:p>
    <w:p>
      <w:pPr>
        <w:pStyle w:val="Heading2"/>
        <w:spacing w:before="240" w:after="120"/>
        <w:rPr/>
      </w:pPr>
      <w:r>
        <w:rPr>
          <w:rFonts w:eastAsia="Arial" w:cs="Arial"/>
          <w:b/>
          <w:bCs/>
          <w:color w:val="2E5797"/>
          <w:sz w:val="26"/>
          <w:szCs w:val="26"/>
        </w:rPr>
        <w:t>Primary Technical Objectives</w:t>
      </w:r>
    </w:p>
    <w:p>
      <w:pPr>
        <w:pStyle w:val="ListParagraph"/>
        <w:numPr>
          <w:ilvl w:val="0"/>
          <w:numId w:val="4"/>
        </w:numPr>
        <w:spacing w:before="40" w:after="40"/>
        <w:rPr/>
      </w:pPr>
      <w:r>
        <w:rPr>
          <w:rFonts w:eastAsia="Arial" w:cs="Arial"/>
          <w:sz w:val="22"/>
          <w:szCs w:val="22"/>
        </w:rPr>
        <w:t>Design and deliver a functional classroom robot platform (Lumio) from first principles, covering hardware prototyping, custom PCB design, and production firmware.</w:t>
      </w:r>
    </w:p>
    <w:p>
      <w:pPr>
        <w:pStyle w:val="ListParagraph"/>
        <w:numPr>
          <w:ilvl w:val="0"/>
          <w:numId w:val="2"/>
        </w:numPr>
        <w:spacing w:before="40" w:after="40"/>
        <w:rPr/>
      </w:pPr>
      <w:r>
        <w:rPr>
          <w:rFonts w:eastAsia="Arial" w:cs="Arial"/>
          <w:sz w:val="22"/>
          <w:szCs w:val="22"/>
        </w:rPr>
        <w:t>Develop a multi-threaded embedded software architecture supporting simultaneous control from four independent pathways: Google Sheets, Infrared, Bluetooth, and WiFi.</w:t>
      </w:r>
    </w:p>
    <w:p>
      <w:pPr>
        <w:pStyle w:val="ListParagraph"/>
        <w:numPr>
          <w:ilvl w:val="0"/>
          <w:numId w:val="2"/>
        </w:numPr>
        <w:spacing w:before="40" w:after="40"/>
        <w:rPr/>
      </w:pPr>
      <w:r>
        <w:rPr>
          <w:rFonts w:eastAsia="Arial" w:cs="Arial"/>
          <w:sz w:val="22"/>
          <w:szCs w:val="22"/>
        </w:rPr>
        <w:t>Design and fabricate a custom PCB through iterative hardware revisions (V1–V5) using KiCad and JLCPCB PCBA services.</w:t>
      </w:r>
    </w:p>
    <w:p>
      <w:pPr>
        <w:pStyle w:val="ListParagraph"/>
        <w:numPr>
          <w:ilvl w:val="0"/>
          <w:numId w:val="2"/>
        </w:numPr>
        <w:spacing w:before="40" w:after="40"/>
        <w:rPr/>
      </w:pPr>
      <w:r>
        <w:rPr>
          <w:rFonts w:eastAsia="Arial" w:cs="Arial"/>
          <w:sz w:val="22"/>
          <w:szCs w:val="22"/>
        </w:rPr>
        <w:t>Implement a Hardware Abstraction Layer (HAL) to decouple firmware business logic from GPIO-specific calls, enabling off-hardware unit and integration testing.</w:t>
      </w:r>
    </w:p>
    <w:p>
      <w:pPr>
        <w:pStyle w:val="ListParagraph"/>
        <w:numPr>
          <w:ilvl w:val="0"/>
          <w:numId w:val="2"/>
        </w:numPr>
        <w:spacing w:before="40" w:after="40"/>
        <w:rPr/>
      </w:pPr>
      <w:r>
        <w:rPr>
          <w:rFonts w:eastAsia="Arial" w:cs="Arial"/>
          <w:sz w:val="22"/>
          <w:szCs w:val="22"/>
        </w:rPr>
        <w:t>Build a comprehensive automated test suite: unit tests using mock HAL classes and 40+ integration tests covering full command pipeline scenarios.</w:t>
      </w:r>
    </w:p>
    <w:p>
      <w:pPr>
        <w:pStyle w:val="ListParagraph"/>
        <w:numPr>
          <w:ilvl w:val="0"/>
          <w:numId w:val="2"/>
        </w:numPr>
        <w:spacing w:before="40" w:after="40"/>
        <w:rPr/>
      </w:pPr>
      <w:r>
        <w:rPr>
          <w:rFonts w:eastAsia="Arial" w:cs="Arial"/>
          <w:sz w:val="22"/>
          <w:szCs w:val="22"/>
        </w:rPr>
        <w:t>Integrate a display pipeline for animated GIF playback on an ILI9486 TFT screen, synchronised with robot state transitions.</w:t>
      </w:r>
    </w:p>
    <w:p>
      <w:pPr>
        <w:pStyle w:val="ListParagraph"/>
        <w:numPr>
          <w:ilvl w:val="0"/>
          <w:numId w:val="2"/>
        </w:numPr>
        <w:spacing w:before="40" w:after="40"/>
        <w:rPr/>
      </w:pPr>
      <w:r>
        <w:rPr>
          <w:rFonts w:eastAsia="Arial" w:cs="Arial"/>
          <w:sz w:val="22"/>
          <w:szCs w:val="22"/>
        </w:rPr>
        <w:t>Implement a Q&amp;A engine and student progress reporting system connected to a Google Sheets backend.</w:t>
      </w:r>
    </w:p>
    <w:p>
      <w:pPr>
        <w:pStyle w:val="Normal"/>
        <w:spacing w:before="80" w:after="0"/>
        <w:rPr/>
      </w:pPr>
      <w:r>
        <w:rPr/>
      </w:r>
    </w:p>
    <w:p>
      <w:pPr>
        <w:pStyle w:val="Heading2"/>
        <w:spacing w:before="240" w:after="120"/>
        <w:rPr/>
      </w:pPr>
      <w:r>
        <w:rPr>
          <w:rFonts w:eastAsia="Arial" w:cs="Arial"/>
          <w:b/>
          <w:bCs/>
          <w:color w:val="2E5797"/>
          <w:sz w:val="26"/>
          <w:szCs w:val="26"/>
        </w:rPr>
        <w:t>Secondary &amp; Cross-Team Objectives</w:t>
      </w:r>
    </w:p>
    <w:p>
      <w:pPr>
        <w:pStyle w:val="ListParagraph"/>
        <w:numPr>
          <w:ilvl w:val="0"/>
          <w:numId w:val="2"/>
        </w:numPr>
        <w:spacing w:before="40" w:after="40"/>
        <w:rPr/>
      </w:pPr>
      <w:r>
        <w:rPr>
          <w:rFonts w:eastAsia="Arial" w:cs="Arial"/>
          <w:sz w:val="22"/>
          <w:szCs w:val="22"/>
        </w:rPr>
        <w:t>Contribute to the EduTrack Dashboard codebase during weeks 2–3, including debugging a Flask-SocketIO race condition, fixing SQL query bugs, and implementing rotating-file logging.</w:t>
      </w:r>
    </w:p>
    <w:p>
      <w:pPr>
        <w:pStyle w:val="ListParagraph"/>
        <w:numPr>
          <w:ilvl w:val="0"/>
          <w:numId w:val="2"/>
        </w:numPr>
        <w:spacing w:before="40" w:after="40"/>
        <w:rPr/>
      </w:pPr>
      <w:r>
        <w:rPr>
          <w:rFonts w:eastAsia="Arial" w:cs="Arial"/>
          <w:sz w:val="22"/>
          <w:szCs w:val="22"/>
        </w:rPr>
        <w:t>Gain experience in client-facing engineering — presenting prototypes, negotiating scope, and communicating technical decisions to non-technical stakeholders.</w:t>
      </w:r>
    </w:p>
    <w:p>
      <w:pPr>
        <w:pStyle w:val="ListParagraph"/>
        <w:numPr>
          <w:ilvl w:val="0"/>
          <w:numId w:val="2"/>
        </w:numPr>
        <w:spacing w:before="40" w:after="40"/>
        <w:rPr/>
      </w:pPr>
      <w:r>
        <w:rPr>
          <w:rFonts w:eastAsia="Arial" w:cs="Arial"/>
          <w:sz w:val="22"/>
          <w:szCs w:val="22"/>
        </w:rPr>
        <w:t>Develop professional documentation skills: README files, ASCII wiring diagrams, firmware interface specifications, and a final project handover document.</w:t>
      </w:r>
    </w:p>
    <w:p>
      <w:pPr>
        <w:pStyle w:val="Normal"/>
        <w:spacing w:before="80" w:after="0"/>
        <w:rPr/>
      </w:pPr>
      <w:r>
        <w:rPr/>
      </w:r>
    </w:p>
    <w:p>
      <w:pPr>
        <w:pStyle w:val="Heading2"/>
        <w:spacing w:before="240" w:after="120"/>
        <w:rPr/>
      </w:pPr>
      <w:r>
        <w:rPr>
          <w:rFonts w:eastAsia="Arial" w:cs="Arial"/>
          <w:b/>
          <w:bCs/>
          <w:color w:val="2E5797"/>
          <w:sz w:val="26"/>
          <w:szCs w:val="26"/>
        </w:rPr>
        <w:t>Personal Learning Objectives</w:t>
      </w:r>
    </w:p>
    <w:p>
      <w:pPr>
        <w:pStyle w:val="ListParagraph"/>
        <w:numPr>
          <w:ilvl w:val="0"/>
          <w:numId w:val="2"/>
        </w:numPr>
        <w:spacing w:before="40" w:after="40"/>
        <w:rPr/>
      </w:pPr>
      <w:r>
        <w:rPr>
          <w:rFonts w:eastAsia="Arial" w:cs="Arial"/>
          <w:sz w:val="22"/>
          <w:szCs w:val="22"/>
        </w:rPr>
        <w:t>Apply embedded systems design principles in a production context — moving beyond breadboard modules to custom bare-chip PCB design.</w:t>
      </w:r>
    </w:p>
    <w:p>
      <w:pPr>
        <w:pStyle w:val="ListParagraph"/>
        <w:numPr>
          <w:ilvl w:val="0"/>
          <w:numId w:val="2"/>
        </w:numPr>
        <w:spacing w:before="40" w:after="40"/>
        <w:rPr/>
      </w:pPr>
      <w:r>
        <w:rPr>
          <w:rFonts w:eastAsia="Arial" w:cs="Arial"/>
          <w:sz w:val="22"/>
          <w:szCs w:val="22"/>
        </w:rPr>
        <w:t>Strengthen test-driven development practices for concurrent, hardware-dependent software.</w:t>
      </w:r>
    </w:p>
    <w:p>
      <w:pPr>
        <w:pStyle w:val="ListParagraph"/>
        <w:numPr>
          <w:ilvl w:val="0"/>
          <w:numId w:val="2"/>
        </w:numPr>
        <w:spacing w:before="40" w:after="40"/>
        <w:rPr/>
      </w:pPr>
      <w:r>
        <w:rPr>
          <w:rFonts w:eastAsia="Arial" w:cs="Arial"/>
          <w:sz w:val="22"/>
          <w:szCs w:val="22"/>
        </w:rPr>
        <w:t>Build familiarity with the full hardware production workflow: schematic capture, PCB layout, DRC, BOM preparation, JLCPCB PCBA ordering, and board bring-up.</w:t>
      </w:r>
    </w:p>
    <w:p>
      <w:pPr>
        <w:pStyle w:val="ListParagraph"/>
        <w:numPr>
          <w:ilvl w:val="0"/>
          <w:numId w:val="2"/>
        </w:numPr>
        <w:spacing w:before="40" w:after="0"/>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sz w:val="22"/>
          <w:szCs w:val="22"/>
        </w:rPr>
        <w:t>Develop the habit of documenting systems for the reader's first day rather than as a knowledge dump.</w:t>
      </w:r>
    </w:p>
    <w:p>
      <w:pPr>
        <w:pStyle w:val="Heading1"/>
        <w:pBdr>
          <w:bottom w:val="single" w:sz="6" w:space="1" w:color="2E75B6"/>
        </w:pBdr>
        <w:spacing w:before="360" w:after="160"/>
        <w:rPr/>
      </w:pPr>
      <w:r>
        <w:rPr>
          <w:rFonts w:eastAsia="Arial" w:cs="Arial"/>
          <w:b/>
          <w:bCs/>
          <w:color w:val="1F3864"/>
          <w:sz w:val="32"/>
          <w:szCs w:val="32"/>
        </w:rPr>
        <w:t>Learning Experiences</w:t>
      </w:r>
    </w:p>
    <w:p>
      <w:pPr>
        <w:pStyle w:val="Heading2"/>
        <w:spacing w:before="240" w:after="120"/>
        <w:rPr/>
      </w:pPr>
      <w:r>
        <w:rPr>
          <w:rFonts w:eastAsia="Arial" w:cs="Arial"/>
          <w:b/>
          <w:bCs/>
          <w:color w:val="2E5797"/>
          <w:sz w:val="26"/>
          <w:szCs w:val="26"/>
        </w:rPr>
        <w:t>Phase 1 — Onboarding &amp; Cross-Team Contribution (Weeks 1–3)</w:t>
      </w:r>
    </w:p>
    <w:p>
      <w:pPr>
        <w:pStyle w:val="Normal"/>
        <w:spacing w:before="80" w:after="80"/>
        <w:jc w:val="both"/>
        <w:rPr/>
      </w:pPr>
      <w:r>
        <w:rPr>
          <w:rFonts w:eastAsia="Arial" w:cs="Arial"/>
          <w:sz w:val="22"/>
          <w:szCs w:val="22"/>
        </w:rPr>
        <w:t>The internship commenced with a structured onboarding week that introduced the SonyTech project ecosystem, internal Git conventions, and the team's embedded systems architecture — including an MQTT/Redis integration layer, RS485 bus arbitration, and Raspberry Pi-based hardware nodes. Configuring remote SSH access to headless Pi hardware and validating GPIO and SPI interface availability provided an early hands-on introduction to the embedded development environment.</w:t>
      </w:r>
    </w:p>
    <w:p>
      <w:pPr>
        <w:pStyle w:val="Normal"/>
        <w:spacing w:before="80" w:after="0"/>
        <w:rPr/>
      </w:pPr>
      <w:r>
        <w:rPr/>
      </w:r>
    </w:p>
    <w:p>
      <w:pPr>
        <w:pStyle w:val="Normal"/>
        <w:spacing w:before="80" w:after="80"/>
        <w:jc w:val="both"/>
        <w:rPr/>
      </w:pPr>
      <w:r>
        <w:rPr>
          <w:rFonts w:eastAsia="Arial" w:cs="Arial"/>
          <w:sz w:val="22"/>
          <w:szCs w:val="22"/>
        </w:rPr>
        <w:t>In weeks 2 and 3, I was assigned to assist the EduTrack Dashboard team with a critical bug: a Flask-SocketIO race condition causing intermittent session corruption under concurrent client load. Reproducing the condition, tracing it to unprotected global state, and refactoring session management to a thread-safe Queue-based architecture was a demanding and rewarding early task. Additional work included fixing a silent SQL data truncation bug, resolving a transitive Flask/Werkzeug dependency conflict, and implementing structured rotating-file logging across the codebase. These weeks established a strong foundation in debugging concurrent Python systems and professional software maintenance practices.</w:t>
      </w:r>
    </w:p>
    <w:p>
      <w:pPr>
        <w:pStyle w:val="Normal"/>
        <w:spacing w:before="80" w:after="0"/>
        <w:rPr/>
      </w:pPr>
      <w:r>
        <w:rPr/>
      </w:r>
    </w:p>
    <w:p>
      <w:pPr>
        <w:pStyle w:val="Heading2"/>
        <w:spacing w:before="240" w:after="120"/>
        <w:rPr/>
      </w:pPr>
      <w:r>
        <w:rPr>
          <w:rFonts w:eastAsia="Arial" w:cs="Arial"/>
          <w:b/>
          <w:bCs/>
          <w:color w:val="2E5797"/>
          <w:sz w:val="26"/>
          <w:szCs w:val="26"/>
        </w:rPr>
        <w:t>Phase 2 — Lumio Project Assignment &amp; Software Architecture (Weeks 3–6)</w:t>
      </w:r>
    </w:p>
    <w:p>
      <w:pPr>
        <w:pStyle w:val="Normal"/>
        <w:spacing w:before="80" w:after="80"/>
        <w:jc w:val="both"/>
        <w:rPr/>
      </w:pPr>
      <w:r>
        <w:rPr>
          <w:rFonts w:eastAsia="Arial" w:cs="Arial"/>
          <w:sz w:val="22"/>
          <w:szCs w:val="22"/>
        </w:rPr>
        <w:t>Upon formal assignment to the Lumio project, I reviewed the R.A.D.G.T.F Foundation's educational brief and attended a stakeholder planning session to define system requirements. Translating educational goals into concrete technical specifications — GPIO pin assignments, hardware component choices, control pathway architecture — was a significant exercise in requirements engineering. The initial hardware stack proposed to and signed off by the Foundation used a Raspberry Pi Zero 2W as the robot's physical chassis compute board (small form factor, low cost, sufficient for client demonstration), while firmware development and testing ran on a Raspberry Pi 5 — the platform that would ultimately become the final product compute board.</w:t>
      </w:r>
    </w:p>
    <w:p>
      <w:pPr>
        <w:pStyle w:val="Normal"/>
        <w:spacing w:before="80" w:after="0"/>
        <w:rPr/>
      </w:pPr>
      <w:r>
        <w:rPr/>
      </w:r>
    </w:p>
    <w:p>
      <w:pPr>
        <w:pStyle w:val="Normal"/>
        <w:spacing w:before="80" w:after="80"/>
        <w:jc w:val="both"/>
        <w:rPr/>
      </w:pPr>
      <w:r>
        <w:rPr>
          <w:rFonts w:eastAsia="Arial" w:cs="Arial"/>
          <w:sz w:val="22"/>
          <w:szCs w:val="22"/>
        </w:rPr>
        <w:t>The software architecture was designed from the outset with concurrency in mind: five threads communicating via threading.Event and Queue objects, ensuring that the Sheets command poller, motor executor, display pipeline, WiFi server, and watchdog timer could run concurrently without race conditions. The GIF display pipeline using PIL ImageSequence.Iterator, luma.lcd SPI canvas management, and frame caching provided a technically rich challenge, including discovering that GIF frame delays are stored in centiseconds — not milliseconds — a subtle detail that caused incorrect animation speeds until traced and corrected.</w:t>
      </w:r>
    </w:p>
    <w:p>
      <w:pPr>
        <w:pStyle w:val="Normal"/>
        <w:spacing w:before="80" w:after="0"/>
        <w:rPr/>
      </w:pPr>
      <w:r>
        <w:rPr/>
      </w:r>
    </w:p>
    <w:p>
      <w:pPr>
        <w:pStyle w:val="Normal"/>
        <w:spacing w:before="80" w:after="80"/>
        <w:jc w:val="both"/>
        <w:rPr/>
      </w:pPr>
      <w:r>
        <w:rPr>
          <w:rFonts w:eastAsia="Arial" w:cs="Arial"/>
          <w:sz w:val="22"/>
          <w:szCs w:val="22"/>
        </w:rPr>
        <w:t>Building the WiFi control interface with Flask-SocketIO — including a real-time bidirectional status channel, emergency stop mechanism that bypasses the command queue, and a live 2D position map in HTML canvas — was a highlight of this phase. The experience deepened my understanding of asynchronous web transport and the importance of eventlet as a worker for reliable WebSocket operation.</w:t>
      </w:r>
    </w:p>
    <w:p>
      <w:pPr>
        <w:pStyle w:val="Normal"/>
        <w:spacing w:before="80" w:after="0"/>
        <w:rPr/>
      </w:pPr>
      <w:r>
        <w:rPr/>
      </w:r>
    </w:p>
    <w:p>
      <w:pPr>
        <w:pStyle w:val="Heading2"/>
        <w:spacing w:before="240" w:after="120"/>
        <w:rPr/>
      </w:pPr>
      <w:r>
        <w:rPr>
          <w:rFonts w:eastAsia="Arial" w:cs="Arial"/>
          <w:b/>
          <w:bCs/>
          <w:color w:val="2E5797"/>
          <w:sz w:val="26"/>
          <w:szCs w:val="26"/>
        </w:rPr>
        <w:t>Phase 3 — Prototype Completion &amp; PCB Design (Weeks 7–10)</w:t>
      </w:r>
    </w:p>
    <w:p>
      <w:pPr>
        <w:pStyle w:val="Normal"/>
        <w:spacing w:before="80" w:after="80"/>
        <w:jc w:val="both"/>
        <w:rPr/>
      </w:pPr>
      <w:r>
        <w:rPr>
          <w:rFonts w:eastAsia="Arial" w:cs="Arial"/>
          <w:sz w:val="22"/>
          <w:szCs w:val="22"/>
        </w:rPr>
        <w:t>After eight weeks of software and hardware prototyping, the jumper-cable Lumio prototype was presented to SonyTech and the R.A.D.G.T.F Foundation for sign-off. The experience of framing a prototype's physical limitations as intentional rapid validation — and having that framing accepted professionally — was an important lesson in client communication.</w:t>
      </w:r>
    </w:p>
    <w:p>
      <w:pPr>
        <w:pStyle w:val="Normal"/>
        <w:spacing w:before="80" w:after="0"/>
        <w:rPr/>
      </w:pPr>
      <w:r>
        <w:rPr/>
      </w:r>
    </w:p>
    <w:p>
      <w:pPr>
        <w:pStyle w:val="Normal"/>
        <w:spacing w:before="80" w:after="80"/>
        <w:jc w:val="both"/>
        <w:rPr/>
      </w:pPr>
      <w:r>
        <w:rPr>
          <w:rFonts w:eastAsia="Arial" w:cs="Arial"/>
          <w:sz w:val="22"/>
          <w:szCs w:val="22"/>
        </w:rPr>
        <w:t>PCB design began in KiCad with schematic capture for V1: placing and wiring the Pi Zero 2W (the client-approved chassis platform), L298N dual H-bridge motor driver, ILI9486 display, RCWL-1601 ultrasonic sensor, and HC-05 Bluetooth module. Creating custom footprints for non-standard components, routing differential signal pairs, and generating JLCPCB-compliant Gerber and BOM files were all new skills acquired during this phase. The V1 board was ordered and the waiting period was used productively to begin the HAL firmware refactor — with all firmware continuing to be developed and validated on the RPi 5 development platform.</w:t>
      </w:r>
    </w:p>
    <w:p>
      <w:pPr>
        <w:pStyle w:val="Normal"/>
        <w:spacing w:before="80" w:after="0"/>
        <w:rPr/>
      </w:pPr>
      <w:r>
        <w:rPr/>
      </w:r>
    </w:p>
    <w:p>
      <w:pPr>
        <w:pStyle w:val="Heading2"/>
        <w:spacing w:before="240" w:after="120"/>
        <w:rPr/>
      </w:pPr>
      <w:r>
        <w:rPr>
          <w:rFonts w:eastAsia="Arial" w:cs="Arial"/>
          <w:b/>
          <w:bCs/>
          <w:color w:val="2E5797"/>
          <w:sz w:val="26"/>
          <w:szCs w:val="26"/>
        </w:rPr>
        <w:t>Phase 4 — HAL Firmware &amp; Test Suite (Weeks 11–14)</w:t>
      </w:r>
    </w:p>
    <w:p>
      <w:pPr>
        <w:pStyle w:val="Normal"/>
        <w:spacing w:before="80" w:after="80"/>
        <w:jc w:val="both"/>
        <w:rPr/>
      </w:pPr>
      <w:r>
        <w:rPr>
          <w:rFonts w:eastAsia="Arial" w:cs="Arial"/>
          <w:sz w:val="22"/>
          <w:szCs w:val="22"/>
        </w:rPr>
        <w:t>With the V1 PCB in transit, I designed and implemented the Hardware Abstraction Layer (hal.py): a MotorHAL and SensorHAL class pair wrapping all RPi.GPIO calls, constructed using dependency injection so that MockMotorHAL and MockSensorHAL could be substituted in test environments without hardware. The MockMotorHAL recorded every GPIO call with timestamps as (pin, value, timestamp) tuples, enabling assertion-based unit tests that verified pin and value sequences.</w:t>
      </w:r>
    </w:p>
    <w:p>
      <w:pPr>
        <w:pStyle w:val="Normal"/>
        <w:spacing w:before="80" w:after="0"/>
        <w:rPr/>
      </w:pPr>
      <w:r>
        <w:rPr/>
      </w:r>
    </w:p>
    <w:p>
      <w:pPr>
        <w:pStyle w:val="Normal"/>
        <w:spacing w:before="80" w:after="80"/>
        <w:jc w:val="both"/>
        <w:rPr/>
      </w:pPr>
      <w:r>
        <w:rPr>
          <w:rFonts w:eastAsia="Arial" w:cs="Arial"/>
          <w:sz w:val="22"/>
          <w:szCs w:val="22"/>
        </w:rPr>
        <w:t>The unit test suite (test_motor_hal.py, test_command_pipeline.py) used unittest.mock.patch('time.time') to freeze time and threading.Barrier to synchronise concurrent test threads. Equivalence partitioning and boundary value analysis were applied to systematically generate edge-case command parser tests. The integration test suite grew to 40+ cases covering multi-command sequences, obstacle abort mid-movement, emergency stop under all four pathways, and reconnect-after-outage scenarios.</w:t>
      </w:r>
    </w:p>
    <w:p>
      <w:pPr>
        <w:pStyle w:val="Normal"/>
        <w:spacing w:before="80" w:after="0"/>
        <w:rPr/>
      </w:pPr>
      <w:r>
        <w:rPr/>
      </w:r>
    </w:p>
    <w:p>
      <w:pPr>
        <w:pStyle w:val="Heading2"/>
        <w:spacing w:before="240" w:after="120"/>
        <w:rPr/>
      </w:pPr>
      <w:r>
        <w:rPr>
          <w:rFonts w:eastAsia="Arial" w:cs="Arial"/>
          <w:b/>
          <w:bCs/>
          <w:color w:val="2E5797"/>
          <w:sz w:val="26"/>
          <w:szCs w:val="26"/>
        </w:rPr>
        <w:t>Phase 5 — PCB Revisions V2–V5 &amp; Hardware Iteration (Weeks 15–22)</w:t>
      </w:r>
    </w:p>
    <w:p>
      <w:pPr>
        <w:pStyle w:val="Normal"/>
        <w:spacing w:before="80" w:after="80"/>
        <w:jc w:val="both"/>
        <w:rPr/>
      </w:pPr>
      <w:r>
        <w:rPr>
          <w:rFonts w:eastAsia="Arial" w:cs="Arial"/>
          <w:sz w:val="22"/>
          <w:szCs w:val="22"/>
        </w:rPr>
        <w:t>V1 board bring-up confirmed the Pi Zero 2W's processing margin was insufficient for the Q&amp;A engine and voice pipeline workload — a limitation that had been masked during development because all firmware was running on the RPi 5. This drove a PCB architecture pivot: V2 through V5 entered a CM5 custom-carrier exploration track, targeting the Compute Module 5 as the planned production compute platform for its improved PCIe 3.0, USB 3.0, and dual MIPI CSI/DSI interfaces. This track introduced significantly more complex PCB challenges including 200-pin Hirose DF40C connector placement at 0.4mm pitch, differential pair length-matching, USB 3.0 trace geometry, and MIPI CSI-2 signal integrity across four-layer stackups. Additional revisions (V3, V4, V5) addressed connector footprint corrections, power supply robustness, and sensor placement.</w:t>
      </w:r>
    </w:p>
    <w:p>
      <w:pPr>
        <w:pStyle w:val="Normal"/>
        <w:spacing w:before="80" w:after="0"/>
        <w:rPr/>
      </w:pPr>
      <w:r>
        <w:rPr/>
      </w:r>
    </w:p>
    <w:p>
      <w:pPr>
        <w:pStyle w:val="Normal"/>
        <w:spacing w:before="80" w:after="80"/>
        <w:jc w:val="both"/>
        <w:rPr/>
      </w:pPr>
      <w:r>
        <w:rPr>
          <w:rFonts w:eastAsia="Arial" w:cs="Arial"/>
          <w:sz w:val="22"/>
          <w:szCs w:val="22"/>
        </w:rPr>
        <w:t>A critical addition during this phase was the L298N current sense circuit: a dual-path architecture combining an LM393 hardware comparator for hard overcurrent cutoff (protecting motors and the PCB) and an RC-filtered ADC path into an ADS1115 for stall detection and torque monitoring. This design was intentionally MCU-agnostic — the hardware comparator acts unconditionally, independent of firmware state. Designing a safety-first circuit with hardware-enforced limits alongside software monitoring was one of the most technically rewarding experiences of the internship.</w:t>
      </w:r>
    </w:p>
    <w:p>
      <w:pPr>
        <w:pStyle w:val="Normal"/>
        <w:spacing w:before="80" w:after="0"/>
        <w:rPr/>
      </w:pPr>
      <w:r>
        <w:rPr/>
      </w:r>
    </w:p>
    <w:p>
      <w:pPr>
        <w:pStyle w:val="Normal"/>
        <w:spacing w:before="80" w:after="80"/>
        <w:jc w:val="both"/>
        <w:rPr/>
      </w:pPr>
      <w:r>
        <w:rPr>
          <w:rFonts w:eastAsia="Arial" w:cs="Arial"/>
          <w:sz w:val="22"/>
          <w:szCs w:val="22"/>
        </w:rPr>
        <w:t>Sensor drivers for the ADS1115 ADC and ICM-42688-P IMU were implemented from scratch against their datasheets on the RPi 5 — the consistent development platform throughout — including proper I2C register addressing, raw-to-SI unit conversion, and interrupt configuration. Offline voice command integration using Vosk STT, a wake-word gate, Ollama (phi3:mini) for LLM inference, and Piper TTS was completed as a third thread alongside the Sheets poller and display threads, and validated fully on the RPi 5.</w:t>
      </w:r>
    </w:p>
    <w:p>
      <w:pPr>
        <w:pStyle w:val="Normal"/>
        <w:spacing w:before="80" w:after="0"/>
        <w:rPr/>
      </w:pPr>
      <w:r>
        <w:rPr/>
      </w:r>
    </w:p>
    <w:p>
      <w:pPr>
        <w:pStyle w:val="Heading2"/>
        <w:spacing w:before="240" w:after="120"/>
        <w:rPr/>
      </w:pPr>
      <w:r>
        <w:rPr>
          <w:rFonts w:eastAsia="Arial" w:cs="Arial"/>
          <w:b/>
          <w:bCs/>
          <w:color w:val="2E5797"/>
          <w:sz w:val="26"/>
          <w:szCs w:val="26"/>
        </w:rPr>
        <w:t>Phase 6 — V4 Bring-Up, Q&amp;A Engine &amp; Final Milestones (Weeks 22–27)</w:t>
      </w:r>
    </w:p>
    <w:p>
      <w:pPr>
        <w:pStyle w:val="Normal"/>
        <w:spacing w:before="80" w:after="80"/>
        <w:jc w:val="both"/>
        <w:rPr/>
      </w:pPr>
      <w:r>
        <w:rPr>
          <w:rFonts w:eastAsia="Arial" w:cs="Arial"/>
          <w:sz w:val="22"/>
          <w:szCs w:val="22"/>
        </w:rPr>
        <w:t>V3 board bring-up followed a staged verification procedure: power rails first (5V, 3.3V, 1.8V), I2C bus scan, SPI device verification, MIPI display initialisation, and final full firmware smoke test. V3 became the validated production prototype on the CM5 carrier track. The Q&amp;A engine was extended with image analysis capabilities (foundation-level), and the student progress reporting system was connected to the Google Sheets backend with structured logging of interaction events. All software, however, remained validated on the RPi 5 as the primary development platform — the CM5 carrier boards served as hardware verification targets.</w:t>
      </w:r>
    </w:p>
    <w:p>
      <w:pPr>
        <w:pStyle w:val="Normal"/>
        <w:spacing w:before="80" w:after="0"/>
        <w:rPr/>
      </w:pPr>
      <w:r>
        <w:rPr/>
      </w:r>
    </w:p>
    <w:p>
      <w:pPr>
        <w:pStyle w:val="Normal"/>
        <w:spacing w:before="80" w:after="80"/>
        <w:jc w:val="both"/>
        <w:rPr/>
      </w:pPr>
      <w:r>
        <w:rPr>
          <w:rFonts w:eastAsia="Arial" w:cs="Arial"/>
          <w:sz w:val="22"/>
          <w:szCs w:val="22"/>
        </w:rPr>
        <w:t>Bluetooth HID implementation for the keyboard control pathway required resolving a BlueZ D-Bus API version conflict — a debugging exercise that spanned multiple days and involved reading D-Bus introspection XML to identify the API version mismatch. The experience was a formative lesson in working with complex, underdocumented system APIs.</w:t>
      </w:r>
    </w:p>
    <w:p>
      <w:pPr>
        <w:pStyle w:val="Normal"/>
        <w:spacing w:before="80" w:after="0"/>
        <w:rPr/>
      </w:pPr>
      <w:r>
        <w:rPr/>
      </w:r>
    </w:p>
    <w:p>
      <w:pPr>
        <w:pStyle w:val="Heading2"/>
        <w:spacing w:before="240" w:after="120"/>
        <w:rPr/>
      </w:pPr>
      <w:r>
        <w:rPr>
          <w:rFonts w:eastAsia="Arial" w:cs="Arial"/>
          <w:b/>
          <w:bCs/>
          <w:color w:val="2E5797"/>
          <w:sz w:val="26"/>
          <w:szCs w:val="26"/>
        </w:rPr>
        <w:t>Phase 7 — Project Closure &amp; Handover (Weeks 28–29)</w:t>
      </w:r>
    </w:p>
    <w:p>
      <w:pPr>
        <w:pStyle w:val="Normal"/>
        <w:spacing w:before="80" w:after="80"/>
        <w:jc w:val="both"/>
        <w:rPr/>
      </w:pPr>
      <w:r>
        <w:rPr>
          <w:rFonts w:eastAsia="Arial" w:cs="Arial"/>
          <w:sz w:val="22"/>
          <w:szCs w:val="22"/>
        </w:rPr>
        <w:t>The final weeks were dedicated to software audit, documentation, and handover. A severity/effort matrix was used to triage remaining technical debt, separating high-severity/low-effort items addressed immediately from items logged as known issues for the next development cycle. The project handover document covered architecture overview, V5 bring-up procedure, firmware test suite guide, and known issues — written with the principle of addressing what a new engineer would need in their first week rather than providing an exhaustive knowledge dump.</w:t>
      </w:r>
    </w:p>
    <w:p>
      <w:pPr>
        <w:pStyle w:val="Normal"/>
        <w:spacing w:before="80" w:after="0"/>
        <w:rPr/>
      </w:pPr>
      <w:r>
        <w:rPr/>
      </w:r>
    </w:p>
    <w:p>
      <w:pPr>
        <w:pStyle w:val="Normal"/>
        <w:spacing w:before="80" w:after="80"/>
        <w:jc w:val="both"/>
        <w:rPr/>
      </w:pPr>
      <w:r>
        <w:rPr>
          <w:rFonts w:eastAsia="Arial" w:cs="Arial"/>
          <w:sz w:val="22"/>
          <w:szCs w:val="22"/>
        </w:rPr>
        <w:t>The v1.1.0 release was tagged after a pre-tag code review that searched for TODO, FIXME, and debug print statements. V5 boards (the final CM5 carrier revision) arrived from JLCPCB on February 24, 2026 — power-rail bring-up passed successfully (5V, 3.3V, 1.8V all correct) — with full CM5 boot and peripheral bring-up deferred, as the architecture decision to return to the RPi 5 platform was already underway.</w:t>
      </w:r>
    </w:p>
    <w:p>
      <w:pPr>
        <w:pStyle w:val="Normal"/>
        <w:spacing w:before="80" w:after="0"/>
        <w:rPr/>
      </w:pPr>
      <w:r>
        <w:rPr/>
      </w:r>
    </w:p>
    <w:p>
      <w:pPr>
        <w:pStyle w:val="Heading2"/>
        <w:spacing w:before="240" w:after="120"/>
        <w:rPr/>
      </w:pPr>
      <w:r>
        <w:rPr>
          <w:rFonts w:eastAsia="Arial" w:cs="Arial"/>
          <w:b/>
          <w:bCs/>
          <w:color w:val="2E5797"/>
          <w:sz w:val="26"/>
          <w:szCs w:val="26"/>
        </w:rPr>
        <w:t>Phase 8 — Lumio V2 Clean-Sheet PCB Design (Weeks 30–35, Remote)</w:t>
      </w:r>
    </w:p>
    <w:p>
      <w:pPr>
        <w:pStyle w:val="Normal"/>
        <w:spacing w:before="80" w:after="80"/>
        <w:jc w:val="both"/>
        <w:rPr/>
      </w:pPr>
      <w:r>
        <w:rPr>
          <w:rFonts w:eastAsia="Arial" w:cs="Arial"/>
          <w:sz w:val="22"/>
          <w:szCs w:val="22"/>
        </w:rPr>
        <w:t>Following the internship break, work resumed in March 2026 under a remote working arrangement agreed with SonyTech management, with progress tracked via daily written updates and weekly video check-ins. Rather than continuing to iterate on the V1–V5 CM5-carrier exploration track, the decision was made to consolidate all hardware learnings into a single, definitive Lumio V2 PCB — a clean-sheet four-layer design (~115×73mm) on a full-size Raspberry Pi 5 platform. The RPi 5 was chosen over the CM5 for three concrete reasons: native on-system UPS support via the DFRobot UPS Module for Raspberry Pi 5 (eliminating the need for a custom battery management circuit on the Lumio board), ready access to HAT peripherals, and significantly simpler bring-up without a custom carrier. The Lumio V2 board connects to the RPi 5 via a standard 40-pin GPIO extension ribbon cable, delivering all SPI, I2C, UART, PWM, and GPIO signals across the ribbon.</w:t>
      </w:r>
    </w:p>
    <w:p>
      <w:pPr>
        <w:pStyle w:val="Normal"/>
        <w:spacing w:before="80" w:after="0"/>
        <w:rPr/>
      </w:pPr>
      <w:r>
        <w:rPr/>
      </w:r>
    </w:p>
    <w:p>
      <w:pPr>
        <w:pStyle w:val="Normal"/>
        <w:spacing w:before="80" w:after="80"/>
        <w:jc w:val="both"/>
        <w:rPr/>
      </w:pPr>
      <w:r>
        <w:rPr>
          <w:rFonts w:eastAsia="Arial" w:cs="Arial"/>
          <w:sz w:val="22"/>
          <w:szCs w:val="22"/>
        </w:rPr>
        <w:t>The V2 architecture resolved several tradeoffs made under earlier time pressure. The MCP3008-I/SL (SOIC-16) replaced the ADS1115 as the ADC choice — offering 8 channels in a single chip via SPI, simplifying the sensor header routing considerably. The LM2577T-ADJ boost converter circuit was designed from the voltage equation up (Vout = 1.23 × (1 + R1/R2) = 12V), with a 100µH inductor, 1N5821 Schottky rectifier, and a 680µF polymer SMD output filter. The L298N freewheel diodes were upgraded from 1N4148 (300mA, too slow for PWM flyback) to SS34B Schottky diodes (3A, SMA, ~0.35V forward voltage), eliminating reverse-recovery losses at PWM switching frequencies — a direct application of motor flyback theory learned during the V1–V4 arc.</w:t>
      </w:r>
    </w:p>
    <w:p>
      <w:pPr>
        <w:pStyle w:val="Normal"/>
        <w:spacing w:before="80" w:after="0"/>
        <w:rPr/>
      </w:pPr>
      <w:r>
        <w:rPr/>
      </w:r>
    </w:p>
    <w:p>
      <w:pPr>
        <w:pStyle w:val="Normal"/>
        <w:spacing w:before="80" w:after="80"/>
        <w:jc w:val="both"/>
        <w:rPr/>
      </w:pPr>
      <w:r>
        <w:rPr>
          <w:rFonts w:eastAsia="Arial" w:cs="Arial"/>
          <w:sz w:val="22"/>
          <w:szCs w:val="22"/>
        </w:rPr>
        <w:t>The RP2040 co-processor subsystem (QFN-56) was placed with its full support circuit: W25Q64 SPI flash on QSPI pins, a 12MHz HC-49SMD crystal with correctly calculated 33pF load capacitors (CL=20pF → each cap = 2×20 − 5pF stray = 35pF → 33pF nearest standard), a USB-C programming port with 5.1kΩ CC resistors and 27Ω D+/D− impedance matching, and BOOTSEL/RESET tactile switches. A non-obvious discovery during this phase: the HC-49SMD is a 2-pin crystal package — load capacitors connect from each pin to GND only, with no GND pins on the crystal body — requiring a schematic correction after initial incorrect placement.</w:t>
      </w:r>
    </w:p>
    <w:p>
      <w:pPr>
        <w:pStyle w:val="Normal"/>
        <w:spacing w:before="80" w:after="0"/>
        <w:rPr/>
      </w:pPr>
      <w:r>
        <w:rPr/>
      </w:r>
    </w:p>
    <w:p>
      <w:pPr>
        <w:pStyle w:val="Normal"/>
        <w:spacing w:before="80" w:after="80"/>
        <w:jc w:val="both"/>
        <w:rPr/>
      </w:pPr>
      <w:r>
        <w:rPr>
          <w:rFonts w:eastAsia="Arial" w:cs="Arial"/>
          <w:sz w:val="22"/>
          <w:szCs w:val="22"/>
        </w:rPr>
        <w:t>The sensor and expansion infrastructure placed 8 analog sensor headers (3-pin: VCC/Signal/GND, each with 100nF bypass), 4 I2C expansion ports (2 QWIIC JST-SH + 2 JST-PH), and front/rear HC-SR04 ultrasonic headers. The Raspberry Pi 5 40-pin GPIO ribbon extension header required building a custom KiCad symbol (Conn_02x20_Odd_Even) with all 40 pins correctly typed (BiDi for GPIO, Power output for the 3V3/5V rails driven from the RPi 5 via the ribbon, Power input for GND) — no verified symbol for the RPi 5 standard header existed in the KiCad libraries.</w:t>
      </w:r>
    </w:p>
    <w:p>
      <w:pPr>
        <w:pStyle w:val="Normal"/>
        <w:spacing w:before="80" w:after="0"/>
        <w:rPr/>
      </w:pPr>
      <w:r>
        <w:rPr/>
      </w:r>
    </w:p>
    <w:p>
      <w:pPr>
        <w:pStyle w:val="Normal"/>
        <w:spacing w:before="80" w:after="80"/>
        <w:jc w:val="both"/>
        <w:rPr/>
      </w:pPr>
      <w:r>
        <w:rPr>
          <w:rFonts w:eastAsia="Arial" w:cs="Arial"/>
          <w:sz w:val="22"/>
          <w:szCs w:val="22"/>
        </w:rPr>
        <w:t>ERC resolution addressed 18 warnings including missing no-connects on unused GPIO pins, floating ADC channels, and power flag placement. The bulk footprint assignment pass — performed via KiCad's Edit Symbol Fields bulk editor rather than opening each component individually — covered all capacitors, the MCP3008, RP2040, LM2577, SS34B diodes, and the DSI display connector (replacing the earlier I2C HAT approach, which had caused framebuffer driver difficulties). The display migration to DSI was confirmed as the correct choice for a classroom-deployed product: natively supported by Raspberry Pi firmware with no custom driver configuration required.</w:t>
      </w:r>
    </w:p>
    <w:p>
      <w:pPr>
        <w:pStyle w:val="Normal"/>
        <w:spacing w:before="80" w:after="0"/>
        <w:rPr/>
      </w:pPr>
      <w:r>
        <w:rPr/>
      </w:r>
    </w:p>
    <w:p>
      <w:pPr>
        <w:pStyle w:val="Normal"/>
        <w:spacing w:before="80" w:after="0"/>
        <w:jc w:val="both"/>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sz w:val="22"/>
          <w:szCs w:val="22"/>
        </w:rPr>
        <w:t>PCB layout on a 2-layer stackup (F.Cu/In1.Cu/In2.Cu/B.Cu) required careful routing priority: 2mm traces for the 12V motor supply, 1mm for 5V, 0.5mm for 3.3V signal. High-connectivity ICs were placed first. The RP2040's QFN-56 thermal pad required GND via stitching for heat dissipation. USB differential pairs were routed with 27Ω series resistors and kept short; QSPI flash traces were length-matched. GND copper pours were applied to all layers. The board reached DRC-clean status and was confirmed ready for JLCPCB PCBA submission pending final BOM LCSC part number assignment.</w:t>
      </w:r>
    </w:p>
    <w:p>
      <w:pPr>
        <w:pStyle w:val="Heading1"/>
        <w:pBdr>
          <w:bottom w:val="single" w:sz="6" w:space="1" w:color="2E75B6"/>
        </w:pBdr>
        <w:spacing w:before="360" w:after="160"/>
        <w:rPr/>
      </w:pPr>
      <w:r>
        <w:rPr>
          <w:rFonts w:eastAsia="Arial" w:cs="Arial"/>
          <w:b/>
          <w:bCs/>
          <w:color w:val="1F3864"/>
          <w:sz w:val="32"/>
          <w:szCs w:val="32"/>
        </w:rPr>
        <w:t>Learning Outcomes</w:t>
      </w:r>
    </w:p>
    <w:p>
      <w:pPr>
        <w:pStyle w:val="Heading2"/>
        <w:spacing w:before="240" w:after="120"/>
        <w:rPr/>
      </w:pPr>
      <w:r>
        <w:rPr>
          <w:rFonts w:eastAsia="Arial" w:cs="Arial"/>
          <w:b/>
          <w:bCs/>
          <w:color w:val="2E5797"/>
          <w:sz w:val="26"/>
          <w:szCs w:val="26"/>
        </w:rPr>
        <w:t>Technical Competencies Gained</w:t>
      </w:r>
    </w:p>
    <w:p>
      <w:pPr>
        <w:pStyle w:val="Normal"/>
        <w:spacing w:before="180" w:after="80"/>
        <w:rPr/>
      </w:pPr>
      <w:r>
        <w:rPr>
          <w:rFonts w:eastAsia="Arial" w:cs="Arial"/>
          <w:b/>
          <w:bCs/>
          <w:color w:val="2E75B6"/>
          <w:sz w:val="24"/>
          <w:szCs w:val="24"/>
        </w:rPr>
        <w:t>Embedded Systems &amp; Hardware Design</w:t>
      </w:r>
    </w:p>
    <w:p>
      <w:pPr>
        <w:pStyle w:val="ListParagraph"/>
        <w:numPr>
          <w:ilvl w:val="0"/>
          <w:numId w:val="2"/>
        </w:numPr>
        <w:spacing w:before="40" w:after="40"/>
        <w:rPr/>
      </w:pPr>
      <w:r>
        <w:rPr>
          <w:rFonts w:eastAsia="Arial" w:cs="Arial"/>
          <w:sz w:val="22"/>
          <w:szCs w:val="22"/>
        </w:rPr>
        <w:t>Designed and fabricated five PCB revisions (V1–V5) using KiCad: V1 around a Pi Zero 2W chassis, V2–V5 as a CM5 custom-carrier exploration track targeting a production upgrade, and ultimately a definitive Lumio V2 clean-sheet board designed for the Raspberry Pi 5 as the final platform — informed by the full arc of learnings across all prior revisions.</w:t>
      </w:r>
    </w:p>
    <w:p>
      <w:pPr>
        <w:pStyle w:val="ListParagraph"/>
        <w:numPr>
          <w:ilvl w:val="0"/>
          <w:numId w:val="2"/>
        </w:numPr>
        <w:spacing w:before="40" w:after="40"/>
        <w:rPr/>
      </w:pPr>
      <w:r>
        <w:rPr>
          <w:rFonts w:eastAsia="Arial" w:cs="Arial"/>
          <w:sz w:val="22"/>
          <w:szCs w:val="22"/>
        </w:rPr>
        <w:t>Designed the definitive Lumio V2 PCB from scratch (clean-sheet, 4-layer, ~115×73mm): integrating RP2040 (QFN-56), MCP3008 ADC (SOIC-16), LM2577 boost converter, L298N with SS34B Schottky freewheel diodes, DSI display connector, 8 sensor headers, 4 I2C expansion ports, and USB-C RP2040 programming port — reaching DRC-clean PCB layout ready for JLCPCB PCBA.</w:t>
      </w:r>
    </w:p>
    <w:p>
      <w:pPr>
        <w:pStyle w:val="ListParagraph"/>
        <w:numPr>
          <w:ilvl w:val="0"/>
          <w:numId w:val="2"/>
        </w:numPr>
        <w:spacing w:before="40" w:after="40"/>
        <w:rPr/>
      </w:pPr>
      <w:r>
        <w:rPr>
          <w:rFonts w:eastAsia="Arial" w:cs="Arial"/>
          <w:sz w:val="22"/>
          <w:szCs w:val="22"/>
        </w:rPr>
        <w:t>Mastered KiCad schematic capture, PCB layout, DRC, Gerber generation, BOM preparation, and JLCPCB PCBA ordering workflow end-to-end.</w:t>
      </w:r>
    </w:p>
    <w:p>
      <w:pPr>
        <w:pStyle w:val="ListParagraph"/>
        <w:numPr>
          <w:ilvl w:val="0"/>
          <w:numId w:val="2"/>
        </w:numPr>
        <w:spacing w:before="40" w:after="40"/>
        <w:rPr/>
      </w:pPr>
      <w:r>
        <w:rPr>
          <w:rFonts w:eastAsia="Arial" w:cs="Arial"/>
          <w:sz w:val="22"/>
          <w:szCs w:val="22"/>
        </w:rPr>
        <w:t>Implemented a safety-critical current sense circuit: hardware comparator (LM393) for unconditional overcurrent cutoff, and RC-filtered ADC path (ADS1115) for software-level stall detection and torque monitoring.</w:t>
      </w:r>
    </w:p>
    <w:p>
      <w:pPr>
        <w:pStyle w:val="ListParagraph"/>
        <w:numPr>
          <w:ilvl w:val="0"/>
          <w:numId w:val="2"/>
        </w:numPr>
        <w:spacing w:before="40" w:after="40"/>
        <w:rPr/>
      </w:pPr>
      <w:r>
        <w:rPr>
          <w:rFonts w:eastAsia="Arial" w:cs="Arial"/>
          <w:sz w:val="22"/>
          <w:szCs w:val="22"/>
        </w:rPr>
        <w:t>Developed custom I2C/SPI sensor drivers for ADS1115 and ICM-42688-P from datasheets, including register-level configuration and raw-to-SI unit conversion.</w:t>
      </w:r>
    </w:p>
    <w:p>
      <w:pPr>
        <w:pStyle w:val="ListParagraph"/>
        <w:numPr>
          <w:ilvl w:val="0"/>
          <w:numId w:val="2"/>
        </w:numPr>
        <w:spacing w:before="40" w:after="40"/>
        <w:rPr/>
      </w:pPr>
      <w:r>
        <w:rPr>
          <w:rFonts w:eastAsia="Arial" w:cs="Arial"/>
          <w:sz w:val="22"/>
          <w:szCs w:val="22"/>
        </w:rPr>
        <w:t>Executed staged board bring-up procedures with explicit pass/fail criteria per stage: power rail verification, I2C bus scan, SPI device handshake, display initialisation, and full firmware smoke test.</w:t>
      </w:r>
    </w:p>
    <w:p>
      <w:pPr>
        <w:pStyle w:val="Normal"/>
        <w:spacing w:before="80" w:after="0"/>
        <w:rPr/>
      </w:pPr>
      <w:r>
        <w:rPr/>
      </w:r>
    </w:p>
    <w:p>
      <w:pPr>
        <w:pStyle w:val="Normal"/>
        <w:spacing w:before="180" w:after="80"/>
        <w:rPr/>
      </w:pPr>
      <w:r>
        <w:rPr>
          <w:rFonts w:eastAsia="Arial" w:cs="Arial"/>
          <w:b/>
          <w:bCs/>
          <w:color w:val="2E75B6"/>
          <w:sz w:val="24"/>
          <w:szCs w:val="24"/>
        </w:rPr>
        <w:t>Firmware &amp; Software Architecture</w:t>
      </w:r>
    </w:p>
    <w:p>
      <w:pPr>
        <w:pStyle w:val="ListParagraph"/>
        <w:numPr>
          <w:ilvl w:val="0"/>
          <w:numId w:val="2"/>
        </w:numPr>
        <w:spacing w:before="40" w:after="40"/>
        <w:rPr/>
      </w:pPr>
      <w:r>
        <w:rPr>
          <w:rFonts w:eastAsia="Arial" w:cs="Arial"/>
          <w:sz w:val="22"/>
          <w:szCs w:val="22"/>
        </w:rPr>
        <w:t>Designed and implemented a two-layer firmware architecture: a thin HAL encapsulating all hardware calls, and a RobotController business logic layer with zero direct GPIO dependencies — enabling complete off-hardware testing.</w:t>
      </w:r>
    </w:p>
    <w:p>
      <w:pPr>
        <w:pStyle w:val="ListParagraph"/>
        <w:numPr>
          <w:ilvl w:val="0"/>
          <w:numId w:val="2"/>
        </w:numPr>
        <w:spacing w:before="40" w:after="40"/>
        <w:rPr/>
      </w:pPr>
      <w:r>
        <w:rPr>
          <w:rFonts w:eastAsia="Arial" w:cs="Arial"/>
          <w:sz w:val="22"/>
          <w:szCs w:val="22"/>
        </w:rPr>
        <w:t>Built a concurrent multi-threaded Python application with five threads (Sheets poller, motor executor, display renderer, WiFi server, watchdog) communicating via threading.Event and Queue, with explicit lifecycle management.</w:t>
      </w:r>
    </w:p>
    <w:p>
      <w:pPr>
        <w:pStyle w:val="ListParagraph"/>
        <w:numPr>
          <w:ilvl w:val="0"/>
          <w:numId w:val="2"/>
        </w:numPr>
        <w:spacing w:before="40" w:after="40"/>
        <w:rPr/>
      </w:pPr>
      <w:r>
        <w:rPr>
          <w:rFonts w:eastAsia="Arial" w:cs="Arial"/>
          <w:sz w:val="22"/>
          <w:szCs w:val="22"/>
        </w:rPr>
        <w:t>Implemented four independent robot control pathways (Google Sheets, Infrared, Bluetooth, WiFi) arbitrated through a shared Queue-based executor with no command starvation under concurrent load.</w:t>
      </w:r>
    </w:p>
    <w:p>
      <w:pPr>
        <w:pStyle w:val="ListParagraph"/>
        <w:numPr>
          <w:ilvl w:val="0"/>
          <w:numId w:val="2"/>
        </w:numPr>
        <w:spacing w:before="40" w:after="40"/>
        <w:rPr/>
      </w:pPr>
      <w:r>
        <w:rPr>
          <w:rFonts w:eastAsia="Arial" w:cs="Arial"/>
          <w:sz w:val="22"/>
          <w:szCs w:val="22"/>
        </w:rPr>
        <w:t>Integrated an offline AI voice pipeline: Vosk STT wake-word detection, Ollama (phi3:mini) LLM inference, and Piper TTS — running as a dedicated thread alongside existing system threads.</w:t>
      </w:r>
    </w:p>
    <w:p>
      <w:pPr>
        <w:pStyle w:val="Normal"/>
        <w:spacing w:before="80" w:after="0"/>
        <w:rPr/>
      </w:pPr>
      <w:r>
        <w:rPr/>
      </w:r>
    </w:p>
    <w:p>
      <w:pPr>
        <w:pStyle w:val="Normal"/>
        <w:spacing w:before="180" w:after="80"/>
        <w:rPr/>
      </w:pPr>
      <w:r>
        <w:rPr>
          <w:rFonts w:eastAsia="Arial" w:cs="Arial"/>
          <w:b/>
          <w:bCs/>
          <w:color w:val="2E75B6"/>
          <w:sz w:val="24"/>
          <w:szCs w:val="24"/>
        </w:rPr>
        <w:t>Testing &amp; Quality Assurance</w:t>
      </w:r>
    </w:p>
    <w:p>
      <w:pPr>
        <w:pStyle w:val="ListParagraph"/>
        <w:numPr>
          <w:ilvl w:val="0"/>
          <w:numId w:val="2"/>
        </w:numPr>
        <w:spacing w:before="40" w:after="40"/>
        <w:rPr/>
      </w:pPr>
      <w:r>
        <w:rPr>
          <w:rFonts w:eastAsia="Arial" w:cs="Arial"/>
          <w:sz w:val="22"/>
          <w:szCs w:val="22"/>
        </w:rPr>
        <w:t>Built a complete unit test suite using dependency-injected mock HAL classes (MockMotorHAL, MockSensorHAL), time-frozen assertions via unittest.mock.patch, and threading.Barrier for concurrent test synchronisation.</w:t>
      </w:r>
    </w:p>
    <w:p>
      <w:pPr>
        <w:pStyle w:val="ListParagraph"/>
        <w:numPr>
          <w:ilvl w:val="0"/>
          <w:numId w:val="2"/>
        </w:numPr>
        <w:spacing w:before="40" w:after="40"/>
        <w:rPr/>
      </w:pPr>
      <w:r>
        <w:rPr>
          <w:rFonts w:eastAsia="Arial" w:cs="Arial"/>
          <w:sz w:val="22"/>
          <w:szCs w:val="22"/>
        </w:rPr>
        <w:t>Wrote 40+ integration tests covering full command pipeline scenarios, obstacle abort, emergency stop under all pathways, and network outage recovery.</w:t>
      </w:r>
    </w:p>
    <w:p>
      <w:pPr>
        <w:pStyle w:val="ListParagraph"/>
        <w:numPr>
          <w:ilvl w:val="0"/>
          <w:numId w:val="2"/>
        </w:numPr>
        <w:spacing w:before="40" w:after="40"/>
        <w:rPr/>
      </w:pPr>
      <w:r>
        <w:rPr>
          <w:rFonts w:eastAsia="Arial" w:cs="Arial"/>
          <w:sz w:val="22"/>
          <w:szCs w:val="22"/>
        </w:rPr>
        <w:t>Applied equivalence partitioning and boundary value analysis for systematic parser test case design.</w:t>
      </w:r>
    </w:p>
    <w:p>
      <w:pPr>
        <w:pStyle w:val="ListParagraph"/>
        <w:numPr>
          <w:ilvl w:val="0"/>
          <w:numId w:val="2"/>
        </w:numPr>
        <w:spacing w:before="40" w:after="40"/>
        <w:rPr/>
      </w:pPr>
      <w:r>
        <w:rPr>
          <w:rFonts w:eastAsia="Arial" w:cs="Arial"/>
          <w:sz w:val="22"/>
          <w:szCs w:val="22"/>
        </w:rPr>
        <w:t>Used a severity/effort matrix for technical debt triage at project close-out.</w:t>
      </w:r>
    </w:p>
    <w:p>
      <w:pPr>
        <w:pStyle w:val="Normal"/>
        <w:spacing w:before="80" w:after="0"/>
        <w:rPr/>
      </w:pPr>
      <w:r>
        <w:rPr/>
      </w:r>
    </w:p>
    <w:p>
      <w:pPr>
        <w:pStyle w:val="Heading2"/>
        <w:spacing w:before="240" w:after="120"/>
        <w:rPr/>
      </w:pPr>
      <w:r>
        <w:rPr>
          <w:rFonts w:eastAsia="Arial" w:cs="Arial"/>
          <w:b/>
          <w:bCs/>
          <w:color w:val="2E5797"/>
          <w:sz w:val="26"/>
          <w:szCs w:val="26"/>
        </w:rPr>
        <w:t>Professional Competencies Gained</w:t>
      </w:r>
    </w:p>
    <w:p>
      <w:pPr>
        <w:pStyle w:val="ListParagraph"/>
        <w:numPr>
          <w:ilvl w:val="0"/>
          <w:numId w:val="2"/>
        </w:numPr>
        <w:spacing w:before="40" w:after="40"/>
        <w:rPr/>
      </w:pPr>
      <w:r>
        <w:rPr>
          <w:rFonts w:eastAsia="Arial" w:cs="Arial"/>
          <w:sz w:val="22"/>
          <w:szCs w:val="22"/>
        </w:rPr>
        <w:t>Client communication and requirements negotiation — translating educational briefs into technical specifications, presenting prototypes to non-technical stakeholders, and managing scope.</w:t>
      </w:r>
    </w:p>
    <w:p>
      <w:pPr>
        <w:pStyle w:val="ListParagraph"/>
        <w:numPr>
          <w:ilvl w:val="0"/>
          <w:numId w:val="2"/>
        </w:numPr>
        <w:spacing w:before="40" w:after="40"/>
        <w:rPr/>
      </w:pPr>
      <w:r>
        <w:rPr>
          <w:rFonts w:eastAsia="Arial" w:cs="Arial"/>
          <w:sz w:val="22"/>
          <w:szCs w:val="22"/>
        </w:rPr>
        <w:t>Documentation for handover — writing architecture overviews, firmware interface contracts, bring-up procedures, and project close-out checklists written for the reader's first day, not as knowledge dumps.</w:t>
      </w:r>
    </w:p>
    <w:p>
      <w:pPr>
        <w:pStyle w:val="ListParagraph"/>
        <w:numPr>
          <w:ilvl w:val="0"/>
          <w:numId w:val="2"/>
        </w:numPr>
        <w:spacing w:before="40" w:after="40"/>
        <w:rPr/>
      </w:pPr>
      <w:r>
        <w:rPr>
          <w:rFonts w:eastAsia="Arial" w:cs="Arial"/>
          <w:sz w:val="22"/>
          <w:szCs w:val="22"/>
        </w:rPr>
        <w:t>Dependency management — resolving transitive Python dependency conflicts, understanding version pinning, and using pip-compile for deterministic builds.</w:t>
      </w:r>
    </w:p>
    <w:p>
      <w:pPr>
        <w:pStyle w:val="ListParagraph"/>
        <w:numPr>
          <w:ilvl w:val="0"/>
          <w:numId w:val="2"/>
        </w:numPr>
        <w:spacing w:before="40" w:after="40"/>
        <w:rPr/>
      </w:pPr>
      <w:r>
        <w:rPr>
          <w:rFonts w:eastAsia="Arial" w:cs="Arial"/>
          <w:sz w:val="22"/>
          <w:szCs w:val="22"/>
        </w:rPr>
        <w:t>Professional Git hygiene — semantic versioning, pre-tag code review for debug artifacts, and structured commit conventions.</w:t>
      </w:r>
    </w:p>
    <w:p>
      <w:pPr>
        <w:pStyle w:val="ListParagraph"/>
        <w:numPr>
          <w:ilvl w:val="0"/>
          <w:numId w:val="2"/>
        </w:numPr>
        <w:spacing w:before="40" w:after="40"/>
        <w:rPr/>
      </w:pPr>
      <w:r>
        <w:rPr>
          <w:rFonts w:eastAsia="Arial" w:cs="Arial"/>
          <w:sz w:val="22"/>
          <w:szCs w:val="22"/>
        </w:rPr>
        <w:t>Collaborative software maintenance — working within an existing codebase (EduTrack), tracing and fixing non-trivial concurrent bugs, and leaving the codebase in better condition than found.</w:t>
      </w:r>
    </w:p>
    <w:p>
      <w:pPr>
        <w:pStyle w:val="Normal"/>
        <w:spacing w:before="80" w:after="0"/>
        <w:rPr/>
      </w:pPr>
      <w:r>
        <w:rPr/>
      </w:r>
    </w:p>
    <w:p>
      <w:pPr>
        <w:pStyle w:val="Heading2"/>
        <w:spacing w:before="240" w:after="120"/>
        <w:rPr/>
      </w:pPr>
      <w:r>
        <w:rPr>
          <w:rFonts w:eastAsia="Arial" w:cs="Arial"/>
          <w:b/>
          <w:bCs/>
          <w:color w:val="2E5797"/>
          <w:sz w:val="26"/>
          <w:szCs w:val="26"/>
        </w:rPr>
        <w:t>Deliverables Produced</w:t>
      </w:r>
    </w:p>
    <w:tbl>
      <w:tblPr>
        <w:tblW w:w="9360" w:type="dxa"/>
        <w:jc w:val="start"/>
        <w:tblInd w:w="0" w:type="dxa"/>
        <w:tblLayout w:type="fixed"/>
        <w:tblCellMar>
          <w:top w:w="80" w:type="dxa"/>
          <w:start w:w="120" w:type="dxa"/>
          <w:bottom w:w="80" w:type="dxa"/>
          <w:end w:w="120" w:type="dxa"/>
        </w:tblCellMar>
      </w:tblPr>
      <w:tblGrid>
        <w:gridCol w:w="4000"/>
        <w:gridCol w:w="5360"/>
      </w:tblGrid>
      <w:tr>
        <w:trPr/>
        <w:tc>
          <w:tcPr>
            <w:tcW w:w="4000" w:type="dxa"/>
            <w:tcBorders>
              <w:top w:val="single" w:sz="2" w:space="0" w:color="CCCCCC"/>
              <w:start w:val="single" w:sz="2" w:space="0" w:color="CCCCCC"/>
              <w:bottom w:val="single" w:sz="2" w:space="0" w:color="CCCCCC"/>
              <w:end w:val="single" w:sz="2" w:space="0" w:color="CCCCCC"/>
            </w:tcBorders>
            <w:shd w:fill="D5E8F0" w:val="clear"/>
          </w:tcPr>
          <w:p>
            <w:pPr>
              <w:pStyle w:val="Normal"/>
              <w:rPr/>
            </w:pPr>
            <w:r>
              <w:rPr>
                <w:rFonts w:eastAsia="Arial" w:cs="Arial"/>
                <w:b/>
                <w:bCs/>
                <w:sz w:val="22"/>
                <w:szCs w:val="22"/>
              </w:rPr>
              <w:t>Deliverable</w:t>
            </w:r>
          </w:p>
        </w:tc>
        <w:tc>
          <w:tcPr>
            <w:tcW w:w="5360" w:type="dxa"/>
            <w:tcBorders>
              <w:top w:val="single" w:sz="2" w:space="0" w:color="CCCCCC"/>
              <w:start w:val="single" w:sz="2" w:space="0" w:color="CCCCCC"/>
              <w:bottom w:val="single" w:sz="2" w:space="0" w:color="CCCCCC"/>
              <w:end w:val="single" w:sz="2" w:space="0" w:color="CCCCCC"/>
            </w:tcBorders>
            <w:shd w:fill="D5E8F0" w:val="clear"/>
          </w:tcPr>
          <w:p>
            <w:pPr>
              <w:pStyle w:val="Normal"/>
              <w:rPr/>
            </w:pPr>
            <w:r>
              <w:rPr>
                <w:rFonts w:eastAsia="Arial" w:cs="Arial"/>
                <w:b/>
                <w:bCs/>
                <w:sz w:val="22"/>
                <w:szCs w:val="22"/>
              </w:rPr>
              <w:t>Status</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Lumio Firmware (v1.1.0)</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Tagged and archived — HAL, test suite, bring-up scripts, voice pipeline</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PCB Designs V1–V5 (Prototype Arc)</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KiCad projects, Gerbers, BOM files — V3 validated production prototype; V5 power-rail bring-up passed</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Lumio V2 PCB (Definitive Design)</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Clean-sheet four-layer board (~115×73mm), KiCad 9.0, ERC-clean, DRC-clean, PCBA-ready pending BOM finalisation</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Unit &amp; Integration Test Suite</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40+ test cases — all passing at close-out</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Google Sheets Q&amp;A Engine</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Delivered with student progress reporting</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GIF Display Pipeline</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10 GIF assets, atomic state-synchronised switching</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Four Control Pathways</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Sheets, IR, BT, WiFi — concurrent, queue-arbitrated</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Project Handover Document</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Architecture, known issues, V5 bring-up guide, test suite guide</w:t>
            </w:r>
          </w:p>
        </w:tc>
      </w:tr>
      <w:tr>
        <w:trPr/>
        <w:tc>
          <w:tcPr>
            <w:tcW w:w="400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sz w:val="22"/>
                <w:szCs w:val="22"/>
              </w:rPr>
              <w:t>EduTrack Bug Fixes</w:t>
            </w:r>
          </w:p>
        </w:tc>
        <w:tc>
          <w:tcPr>
            <w:tcW w:w="5360" w:type="dxa"/>
            <w:tcBorders>
              <w:top w:val="single" w:sz="2" w:space="0" w:color="CCCCCC"/>
              <w:start w:val="single" w:sz="2" w:space="0" w:color="CCCCCC"/>
              <w:bottom w:val="single" w:sz="2" w:space="0" w:color="CCCCCC"/>
              <w:end w:val="single" w:sz="2" w:space="0" w:color="CCCCCC"/>
            </w:tcBorders>
          </w:tcPr>
          <w:p>
            <w:pPr>
              <w:pStyle w:val="Normal"/>
              <w:rPr/>
            </w:pPr>
            <w:r>
              <w:rPr>
                <w:rFonts w:eastAsia="Arial" w:cs="Arial"/>
                <w:color w:val="333333"/>
                <w:sz w:val="22"/>
                <w:szCs w:val="22"/>
              </w:rPr>
              <w:t>SocketIO race condition, SQL bug, dependency conflict, logging</w:t>
            </w:r>
          </w:p>
        </w:tc>
      </w:tr>
    </w:tbl>
    <w:p>
      <w:pPr>
        <w:sectPr>
          <w:type w:val="nextPage"/>
          <w:pgSz w:w="11906" w:h="16838"/>
          <w:pgMar w:left="1440" w:right="1440" w:gutter="0" w:header="0" w:top="1440" w:footer="0" w:bottom="1440"/>
          <w:pgNumType w:fmt="decimal"/>
          <w:formProt w:val="false"/>
          <w:textDirection w:val="lrTb"/>
          <w:docGrid w:type="default" w:linePitch="360" w:charSpace="0"/>
        </w:sectPr>
      </w:pPr>
    </w:p>
    <w:p>
      <w:pPr>
        <w:pStyle w:val="Heading1"/>
        <w:pBdr>
          <w:bottom w:val="single" w:sz="6" w:space="1" w:color="2E75B6"/>
        </w:pBdr>
        <w:spacing w:before="360" w:after="160"/>
        <w:rPr/>
      </w:pPr>
      <w:r>
        <w:rPr>
          <w:rFonts w:eastAsia="Arial" w:cs="Arial"/>
          <w:b/>
          <w:bCs/>
          <w:color w:val="1F3864"/>
          <w:sz w:val="32"/>
          <w:szCs w:val="32"/>
        </w:rPr>
        <w:t>Conclusion / Summary</w:t>
      </w:r>
    </w:p>
    <w:p>
      <w:pPr>
        <w:pStyle w:val="Normal"/>
        <w:spacing w:before="80" w:after="80"/>
        <w:jc w:val="both"/>
        <w:rPr/>
      </w:pPr>
      <w:r>
        <w:rPr>
          <w:rFonts w:eastAsia="Arial" w:cs="Arial"/>
          <w:sz w:val="22"/>
          <w:szCs w:val="22"/>
        </w:rPr>
        <w:t>This internship represented an intensive, end-to-end engineering experience spanning the full product development lifecycle — from client requirements gathering and rapid prototyping to custom PCB fabrication, production firmware delivery, formal project handover, and a continuing remote design phase. Over a core period of 28.5 weeks at SonyTech IT Company — followed by an ongoing remote work phase from March 2026 — I was the sole engineer responsible for the Lumio educational robot platform, commissioned by the R.A.D.G.T.F Foundation.</w:t>
      </w:r>
    </w:p>
    <w:p>
      <w:pPr>
        <w:pStyle w:val="Normal"/>
        <w:spacing w:before="80" w:after="0"/>
        <w:rPr/>
      </w:pPr>
      <w:r>
        <w:rPr/>
      </w:r>
    </w:p>
    <w:p>
      <w:pPr>
        <w:pStyle w:val="Normal"/>
        <w:spacing w:before="80" w:after="80"/>
        <w:jc w:val="both"/>
        <w:rPr/>
      </w:pPr>
      <w:r>
        <w:rPr>
          <w:rFonts w:eastAsia="Arial" w:cs="Arial"/>
          <w:sz w:val="22"/>
          <w:szCs w:val="22"/>
        </w:rPr>
        <w:t>The most significant technical growth came from three interlocking threads: the hardware design progression from a Pi Zero 2W jumper-cable prototype through five PCB revisions on a CM5 custom-carrier track, and finally into a clean-sheet definitive V2 board returning to the Raspberry Pi 5 as the final platform; the software architecture progression from a monolithic script to a HAL-abstracted, multi-threaded, fully testable firmware stack — developed throughout on an RPi 5 — with a cleanly versioned v1.1.0 release; and the PCB design methodology progression from module-carrier boards to a JLCPCB PCBA-targeted, four-layer board designed with deliberate component selection, trace-width discipline, and ERC/DRC verification from the outset.</w:t>
      </w:r>
    </w:p>
    <w:p>
      <w:pPr>
        <w:pStyle w:val="Normal"/>
        <w:spacing w:before="80" w:after="0"/>
        <w:rPr/>
      </w:pPr>
      <w:r>
        <w:rPr/>
      </w:r>
    </w:p>
    <w:p>
      <w:pPr>
        <w:pStyle w:val="Normal"/>
        <w:spacing w:before="80" w:after="80"/>
        <w:jc w:val="both"/>
        <w:rPr/>
      </w:pPr>
      <w:r>
        <w:rPr>
          <w:rFonts w:eastAsia="Arial" w:cs="Arial"/>
          <w:sz w:val="22"/>
          <w:szCs w:val="22"/>
        </w:rPr>
        <w:t>The remote V2 design phase (Weeks 30–35) distilled every lesson from the prototype arc into a single board — replacing ADS1115 with MCP3008 for 8-channel SPI simplicity, upgrading freewheel diodes from 1N4148 to SS34B Schottky for correct PWM flyback behaviour, properly calculating crystal load capacitors, building a custom KiCad RPi 5 ribbon header symbol, migrating the display interface to DSI for reliable framebuffer support, and landing on the RPi 5 + DFRobot UPS module platform for clean on-system power without a custom BMS. The discipline of working remotely — maintaining clear daily written updates and structured weekly check-ins — was itself a professional skill developed during this phase.</w:t>
      </w:r>
    </w:p>
    <w:p>
      <w:pPr>
        <w:pStyle w:val="Normal"/>
        <w:spacing w:before="80" w:after="0"/>
        <w:rPr/>
      </w:pPr>
      <w:r>
        <w:rPr/>
      </w:r>
    </w:p>
    <w:p>
      <w:pPr>
        <w:pStyle w:val="Normal"/>
        <w:spacing w:before="80" w:after="80"/>
        <w:jc w:val="both"/>
        <w:rPr/>
      </w:pPr>
      <w:r>
        <w:rPr>
          <w:rFonts w:eastAsia="Arial" w:cs="Arial"/>
          <w:sz w:val="22"/>
          <w:szCs w:val="22"/>
        </w:rPr>
        <w:t>Beyond technical skills, the internship cultivated professional competencies difficult to acquire in an academic setting — client communication, scope negotiation, hardware bring-up discipline, remote collaboration, and the art of writing documentation for the reader's first day. Working across two codebases (EduTrack and Lumio) in a real team environment reinforced the importance of code review culture, deterministic dependency management, and leaving code better than you found it.</w:t>
      </w:r>
    </w:p>
    <w:p>
      <w:pPr>
        <w:pStyle w:val="Normal"/>
        <w:spacing w:before="80" w:after="0"/>
        <w:rPr/>
      </w:pPr>
      <w:r>
        <w:rPr/>
      </w:r>
    </w:p>
    <w:p>
      <w:pPr>
        <w:pStyle w:val="Normal"/>
        <w:spacing w:before="80" w:after="80"/>
        <w:jc w:val="both"/>
        <w:rPr/>
      </w:pPr>
      <w:r>
        <w:rPr>
          <w:rFonts w:eastAsia="Arial" w:cs="Arial"/>
          <w:sz w:val="22"/>
          <w:szCs w:val="22"/>
        </w:rPr>
        <w:t>At the time of writing, the Lumio V2 PCB is DRC-clean and pending final BOM LCSC part number assignment before JLCPCB PCBA submission. The v1.1.0 firmware is archived and tagged. The project is positioned for continued development with a clear architecture, a comprehensive test suite as a safety net, and a handover document designed to bring a new engineer up to speed quickly.</w:t>
      </w:r>
    </w:p>
    <w:p>
      <w:pPr>
        <w:pStyle w:val="Normal"/>
        <w:spacing w:before="80" w:after="0"/>
        <w:rPr/>
      </w:pPr>
      <w:r>
        <w:rPr/>
      </w:r>
    </w:p>
    <w:p>
      <w:pPr>
        <w:pStyle w:val="Normal"/>
        <w:spacing w:before="80" w:after="80"/>
        <w:jc w:val="both"/>
        <w:rPr/>
      </w:pPr>
      <w:r>
        <w:rPr>
          <w:rFonts w:eastAsia="Arial" w:cs="Arial"/>
          <w:sz w:val="22"/>
          <w:szCs w:val="22"/>
        </w:rPr>
        <w:t>This internship confirmed my intent to pursue a career that bridges hardware and software — working on systems where firmware, PCB design, and product thinking are inseparable disciplines. The experience at SonyTech has been foundational to that goal.</w:t>
      </w:r>
    </w:p>
    <w:p>
      <w:pPr>
        <w:pStyle w:val="Normal"/>
        <w:spacing w:before="160" w:after="0"/>
        <w:rPr/>
      </w:pPr>
      <w:r>
        <w:rPr/>
      </w:r>
    </w:p>
    <w:p>
      <w:pPr>
        <w:pStyle w:val="Normal"/>
        <w:jc w:val="end"/>
        <w:rPr/>
      </w:pPr>
      <w:r>
        <w:rPr>
          <w:rFonts w:eastAsia="Arial" w:cs="Arial"/>
          <w:b/>
          <w:bCs/>
          <w:sz w:val="22"/>
          <w:szCs w:val="22"/>
        </w:rPr>
        <w:t>Sameed</w:t>
      </w:r>
    </w:p>
    <w:p>
      <w:pPr>
        <w:pStyle w:val="Normal"/>
        <w:spacing w:before="0" w:after="0"/>
        <w:jc w:val="end"/>
        <w:rPr/>
        <w:sectPr>
          <w:type w:val="nextPage"/>
          <w:pgSz w:w="11906" w:h="16838"/>
          <w:pgMar w:left="1440" w:right="1440" w:gutter="0" w:header="0" w:top="1440" w:footer="0" w:bottom="1440"/>
          <w:pgNumType w:fmt="decimal"/>
          <w:formProt w:val="false"/>
          <w:textDirection w:val="lrTb"/>
          <w:docGrid w:type="default" w:linePitch="360" w:charSpace="0"/>
        </w:sectPr>
      </w:pPr>
      <w:r>
        <w:rPr>
          <w:rFonts w:eastAsia="Arial" w:cs="Arial"/>
          <w:color w:val="555555"/>
          <w:sz w:val="22"/>
          <w:szCs w:val="22"/>
        </w:rPr>
        <w:t>April 2026</w:t>
      </w:r>
    </w:p>
    <w:p>
      <w:pPr>
        <w:pStyle w:val="Heading1"/>
        <w:pBdr>
          <w:bottom w:val="single" w:sz="6" w:space="1" w:color="2E75B6"/>
        </w:pBdr>
        <w:spacing w:before="360" w:after="160"/>
        <w:rPr/>
      </w:pPr>
      <w:r>
        <w:rPr>
          <w:rFonts w:eastAsia="Arial" w:cs="Arial"/>
          <w:b/>
          <w:bCs/>
          <w:color w:val="1F3864"/>
          <w:sz w:val="32"/>
          <w:szCs w:val="32"/>
        </w:rPr>
        <w:t>Attachments</w:t>
      </w:r>
    </w:p>
    <w:p>
      <w:pPr>
        <w:pStyle w:val="Normal"/>
        <w:spacing w:before="80" w:after="80"/>
        <w:jc w:val="both"/>
        <w:rPr/>
      </w:pPr>
      <w:r>
        <w:rPr>
          <w:rFonts w:eastAsia="Arial" w:cs="Arial"/>
          <w:sz w:val="22"/>
          <w:szCs w:val="22"/>
        </w:rPr>
        <w:t>The following supplementary documents and artefacts are available to accompany this report:</w:t>
      </w:r>
    </w:p>
    <w:p>
      <w:pPr>
        <w:pStyle w:val="Normal"/>
        <w:spacing w:before="80" w:after="0"/>
        <w:rPr/>
      </w:pPr>
      <w:r>
        <w:rPr/>
      </w:r>
    </w:p>
    <w:p>
      <w:pPr>
        <w:pStyle w:val="Heading2"/>
        <w:spacing w:before="240" w:after="120"/>
        <w:rPr/>
      </w:pPr>
      <w:r>
        <w:rPr>
          <w:rFonts w:eastAsia="Arial" w:cs="Arial"/>
          <w:b/>
          <w:bCs/>
          <w:color w:val="2E5797"/>
          <w:sz w:val="26"/>
          <w:szCs w:val="26"/>
        </w:rPr>
        <w:t>Attachment A — Daily Internship Diary</w:t>
      </w:r>
    </w:p>
    <w:p>
      <w:pPr>
        <w:pStyle w:val="Normal"/>
        <w:spacing w:before="80" w:after="80"/>
        <w:jc w:val="both"/>
        <w:rPr/>
      </w:pPr>
      <w:r>
        <w:rPr>
          <w:rFonts w:eastAsia="Arial" w:cs="Arial"/>
          <w:sz w:val="22"/>
          <w:szCs w:val="22"/>
        </w:rPr>
        <w:t>The full daily diary (SonyTech-Sameed-Daily_Diary.docx) covers August 11, 2025 through April 2, 2026, documenting day-by-day activities, technical challenges encountered, and knowledge gained across all 29 weeks of the internship.</w:t>
      </w:r>
    </w:p>
    <w:p>
      <w:pPr>
        <w:pStyle w:val="Normal"/>
        <w:spacing w:before="80" w:after="0"/>
        <w:rPr/>
      </w:pPr>
      <w:r>
        <w:rPr/>
      </w:r>
    </w:p>
    <w:p>
      <w:pPr>
        <w:pStyle w:val="Heading2"/>
        <w:spacing w:before="240" w:after="120"/>
        <w:rPr/>
      </w:pPr>
      <w:r>
        <w:rPr>
          <w:rFonts w:eastAsia="Arial" w:cs="Arial"/>
          <w:b/>
          <w:bCs/>
          <w:color w:val="2E5797"/>
          <w:sz w:val="26"/>
          <w:szCs w:val="26"/>
        </w:rPr>
        <w:t>Attachment B — Hardware Artefacts</w:t>
      </w:r>
    </w:p>
    <w:p>
      <w:pPr>
        <w:pStyle w:val="ListParagraph"/>
        <w:numPr>
          <w:ilvl w:val="0"/>
          <w:numId w:val="2"/>
        </w:numPr>
        <w:spacing w:before="40" w:after="40"/>
        <w:rPr/>
      </w:pPr>
      <w:r>
        <w:rPr>
          <w:rFonts w:eastAsia="Arial" w:cs="Arial"/>
          <w:sz w:val="22"/>
          <w:szCs w:val="22"/>
        </w:rPr>
        <w:t>KiCad project files for PCB V1 through V5 (schematic, layout, Gerbers, BOM) — prototype arc</w:t>
      </w:r>
    </w:p>
    <w:p>
      <w:pPr>
        <w:pStyle w:val="ListParagraph"/>
        <w:numPr>
          <w:ilvl w:val="0"/>
          <w:numId w:val="2"/>
        </w:numPr>
        <w:spacing w:before="40" w:after="40"/>
        <w:rPr/>
      </w:pPr>
      <w:r>
        <w:rPr>
          <w:rFonts w:eastAsia="Arial" w:cs="Arial"/>
          <w:sz w:val="22"/>
          <w:szCs w:val="22"/>
        </w:rPr>
        <w:t>KiCad 9.0 project for Lumio V2 definitive PCB (schematic, ERC-clean, DRC-clean PCB layout, BOM pending LCSC assignment)</w:t>
      </w:r>
    </w:p>
    <w:p>
      <w:pPr>
        <w:pStyle w:val="ListParagraph"/>
        <w:numPr>
          <w:ilvl w:val="0"/>
          <w:numId w:val="2"/>
        </w:numPr>
        <w:spacing w:before="40" w:after="40"/>
        <w:rPr/>
      </w:pPr>
      <w:r>
        <w:rPr>
          <w:rFonts w:eastAsia="Arial" w:cs="Arial"/>
          <w:sz w:val="22"/>
          <w:szCs w:val="22"/>
        </w:rPr>
        <w:t>JLCPCB order documentation for V1, V2, V3, and V5 fabrication runs</w:t>
      </w:r>
    </w:p>
    <w:p>
      <w:pPr>
        <w:pStyle w:val="ListParagraph"/>
        <w:numPr>
          <w:ilvl w:val="0"/>
          <w:numId w:val="2"/>
        </w:numPr>
        <w:spacing w:before="40" w:after="40"/>
        <w:rPr/>
      </w:pPr>
      <w:r>
        <w:rPr>
          <w:rFonts w:eastAsia="Arial" w:cs="Arial"/>
          <w:sz w:val="22"/>
          <w:szCs w:val="22"/>
        </w:rPr>
        <w:t>GPIO pin allocation spreadsheet and wiring diagrams for the jumper-cable prototype</w:t>
      </w:r>
    </w:p>
    <w:p>
      <w:pPr>
        <w:pStyle w:val="Normal"/>
        <w:spacing w:before="80" w:after="0"/>
        <w:rPr/>
      </w:pPr>
      <w:r>
        <w:rPr/>
      </w:r>
    </w:p>
    <w:p>
      <w:pPr>
        <w:pStyle w:val="Heading2"/>
        <w:spacing w:before="240" w:after="120"/>
        <w:rPr>
          <w:rFonts w:ascii="Arial" w:hAnsi="Arial" w:eastAsia="Arial" w:cs="Arial"/>
          <w:b/>
          <w:bCs/>
          <w:color w:val="2E5797"/>
          <w:sz w:val="26"/>
          <w:szCs w:val="26"/>
        </w:rPr>
      </w:pPr>
      <w:r>
        <w:rPr>
          <w:rFonts w:eastAsia="Arial" w:cs="Arial"/>
          <w:b/>
          <w:bCs/>
          <w:color w:val="2E5797"/>
          <w:sz w:val="26"/>
          <w:szCs w:val="26"/>
        </w:rPr>
        <w:t>Attachment C — Software Repository</w:t>
      </w:r>
    </w:p>
    <w:p>
      <w:pPr>
        <w:pStyle w:val="Heading2"/>
        <w:spacing w:before="240" w:after="120"/>
        <w:rPr>
          <w:rFonts w:ascii="Arial" w:hAnsi="Arial" w:eastAsia="Arial" w:cs="Arial"/>
          <w:b/>
          <w:bCs/>
          <w:color w:val="2E5797"/>
          <w:sz w:val="22"/>
          <w:szCs w:val="22"/>
        </w:rPr>
      </w:pPr>
      <w:r>
        <w:rPr>
          <w:rFonts w:eastAsia="Arial" w:cs="Arial"/>
          <w:b/>
          <w:bCs/>
          <w:color w:val="111111"/>
          <w:sz w:val="22"/>
          <w:szCs w:val="22"/>
        </w:rPr>
        <w:t>Linked at:</w:t>
      </w:r>
      <w:r>
        <w:rPr>
          <w:rFonts w:eastAsia="Arial" w:cs="Arial"/>
          <w:b/>
          <w:bCs/>
          <w:color w:val="2E5797"/>
          <w:sz w:val="22"/>
          <w:szCs w:val="22"/>
        </w:rPr>
        <w:t xml:space="preserve"> </w:t>
      </w:r>
      <w:r>
        <w:rPr>
          <w:rFonts w:eastAsia="Arial" w:cs="Arial"/>
          <w:b/>
          <w:bCs/>
          <w:color w:val="3465A4"/>
          <w:sz w:val="22"/>
          <w:szCs w:val="22"/>
        </w:rPr>
        <w:t>https://github.com/BastaMasta/LumioV2</w:t>
      </w:r>
    </w:p>
    <w:p>
      <w:pPr>
        <w:pStyle w:val="ListParagraph"/>
        <w:numPr>
          <w:ilvl w:val="0"/>
          <w:numId w:val="2"/>
        </w:numPr>
        <w:spacing w:before="40" w:after="40"/>
        <w:rPr/>
      </w:pPr>
      <w:r>
        <w:rPr>
          <w:rFonts w:eastAsia="Arial" w:cs="Arial"/>
          <w:sz w:val="22"/>
          <w:szCs w:val="22"/>
        </w:rPr>
        <w:t>Lumio firmware repository — tagged at v1.0.0 and v1.1.0 — containing main.py, hal.py, all control pathway modules, voice integration, display pipeline, test suite, and bring-up scripts</w:t>
      </w:r>
    </w:p>
    <w:p>
      <w:pPr>
        <w:pStyle w:val="Normal"/>
        <w:spacing w:before="80" w:after="0"/>
        <w:rPr/>
      </w:pPr>
      <w:r>
        <w:rPr/>
      </w:r>
    </w:p>
    <w:p>
      <w:pPr>
        <w:pStyle w:val="Heading2"/>
        <w:spacing w:before="240" w:after="120"/>
        <w:rPr/>
      </w:pPr>
      <w:r>
        <w:rPr>
          <w:rFonts w:eastAsia="Arial" w:cs="Arial"/>
          <w:b/>
          <w:bCs/>
          <w:color w:val="2E5797"/>
          <w:sz w:val="26"/>
          <w:szCs w:val="26"/>
        </w:rPr>
        <w:t>Attachment D — Documentation</w:t>
      </w:r>
    </w:p>
    <w:p>
      <w:pPr>
        <w:pStyle w:val="ListParagraph"/>
        <w:numPr>
          <w:ilvl w:val="0"/>
          <w:numId w:val="2"/>
        </w:numPr>
        <w:spacing w:before="40" w:after="40"/>
        <w:rPr/>
      </w:pPr>
      <w:r>
        <w:rPr>
          <w:rFonts w:eastAsia="Arial" w:cs="Arial"/>
          <w:sz w:val="22"/>
          <w:szCs w:val="22"/>
        </w:rPr>
        <w:t>Project handover document — architecture overview, known issues, V5 bring-up procedure, test suite guide</w:t>
      </w:r>
    </w:p>
    <w:p>
      <w:pPr>
        <w:pStyle w:val="ListParagraph"/>
        <w:numPr>
          <w:ilvl w:val="0"/>
          <w:numId w:val="2"/>
        </w:numPr>
        <w:spacing w:before="40" w:after="40"/>
        <w:rPr/>
      </w:pPr>
      <w:r>
        <w:rPr>
          <w:rFonts w:eastAsia="Arial" w:cs="Arial"/>
          <w:sz w:val="22"/>
          <w:szCs w:val="22"/>
        </w:rPr>
        <w:t>Project README (v1.1.0) — setup instructions, hotspot configuration guide, control pathway documentation, ASCII wiring diagrams</w:t>
      </w:r>
    </w:p>
    <w:p>
      <w:pPr>
        <w:pStyle w:val="Normal"/>
        <w:spacing w:before="80" w:after="0"/>
        <w:rPr/>
      </w:pPr>
      <w:r>
        <w:rPr/>
      </w:r>
    </w:p>
    <w:p>
      <w:pPr>
        <w:pStyle w:val="Normal"/>
        <w:spacing w:before="80" w:after="80"/>
        <w:jc w:val="both"/>
        <w:rPr/>
      </w:pPr>
      <w:r>
        <w:rPr>
          <w:rFonts w:eastAsia="Arial" w:cs="Arial"/>
          <w:sz w:val="22"/>
          <w:szCs w:val="22"/>
        </w:rPr>
        <w:t>Attachments are available upon request from SonyTech IT Company or the intern directly.</w:t>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65"/>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Arial" w:hAnsi="Arial" w:eastAsia="Arial" w:cs="Arial"/>
      <w:color w:val="auto"/>
      <w:kern w:val="0"/>
      <w:sz w:val="22"/>
      <w:szCs w:val="22"/>
      <w:lang w:val="en-IN" w:eastAsia="zh-CN" w:bidi="hi-IN"/>
    </w:rPr>
  </w:style>
  <w:style w:type="paragraph" w:styleId="Heading1">
    <w:name w:val="heading 1"/>
    <w:basedOn w:val="Heading"/>
    <w:qFormat/>
    <w:pPr>
      <w:spacing w:before="360" w:after="160"/>
      <w:outlineLvl w:val="0"/>
    </w:pPr>
    <w:rPr>
      <w:rFonts w:ascii="Arial" w:hAnsi="Arial" w:eastAsia="Arial" w:cs="Arial"/>
      <w:b/>
      <w:bCs/>
      <w:color w:val="1F3864"/>
      <w:sz w:val="32"/>
      <w:szCs w:val="32"/>
    </w:rPr>
  </w:style>
  <w:style w:type="paragraph" w:styleId="Heading2">
    <w:name w:val="heading 2"/>
    <w:basedOn w:val="Heading"/>
    <w:qFormat/>
    <w:pPr>
      <w:spacing w:before="240" w:after="120"/>
      <w:outlineLvl w:val="1"/>
    </w:pPr>
    <w:rPr>
      <w:rFonts w:ascii="Arial" w:hAnsi="Arial" w:eastAsia="Arial" w:cs="Arial"/>
      <w:b/>
      <w:bCs/>
      <w:color w:val="2E5797"/>
      <w:sz w:val="26"/>
      <w:szCs w:val="26"/>
    </w:rPr>
  </w:style>
  <w:style w:type="paragraph" w:styleId="Heading3">
    <w:name w:val="heading 3"/>
    <w:basedOn w:val="Heading"/>
    <w:qFormat/>
    <w:pPr>
      <w:spacing w:before="180" w:after="80"/>
      <w:outlineLvl w:val="2"/>
    </w:pPr>
    <w:rPr>
      <w:rFonts w:ascii="Arial" w:hAnsi="Arial" w:eastAsia="Arial" w:cs="Arial"/>
      <w:b/>
      <w:bCs/>
      <w:color w:val="2E75B6"/>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Charactersuser">
    <w:name w:val="Footnote Characters (user)"/>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Charactersuser">
    <w:name w:val="Endnote Characters (user)"/>
    <w:qFormat/>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before="0" w:after="0"/>
      <w:jc w:val="start"/>
    </w:pPr>
    <w:rPr>
      <w:rFonts w:ascii="Arial" w:hAnsi="Arial" w:eastAsia="Arial" w:cs="Arial"/>
      <w:b/>
      <w:bCs/>
      <w:color w:val="auto"/>
      <w:kern w:val="0"/>
      <w:sz w:val="22"/>
      <w:szCs w:val="22"/>
      <w:lang w:val="en-IN" w:eastAsia="zh-CN" w:bidi="hi-IN"/>
    </w:rPr>
  </w:style>
  <w:style w:type="paragraph" w:styleId="ListParagraph">
    <w:name w:val="List Paragraph"/>
    <w:qFormat/>
    <w:pPr>
      <w:widowControl/>
      <w:suppressAutoHyphens w:val="true"/>
      <w:bidi w:val="0"/>
      <w:spacing w:before="0" w:after="0"/>
      <w:jc w:val="start"/>
    </w:pPr>
    <w:rPr>
      <w:rFonts w:ascii="Arial" w:hAnsi="Arial" w:eastAsia="Arial" w:cs="Arial"/>
      <w:color w:val="auto"/>
      <w:kern w:val="0"/>
      <w:sz w:val="22"/>
      <w:szCs w:val="22"/>
      <w:lang w:val="en-IN"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LibreOffice/26.2.1.2$Windows_X86_64 LibreOffice_project/620$Build-2</Application>
  <AppVersion>15.0000</AppVersion>
  <Pages>14</Pages>
  <Words>4270</Words>
  <Characters>26108</Characters>
  <CharactersWithSpaces>30212</CharactersWithSpaces>
  <Paragraphs>187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2026-04-06T21:33:48Z</dcterms:created>
  <dc:creator>Un-named</dc:creator>
  <dc:description/>
  <dc:language>en-IN</dc:language>
  <cp:lastModifiedBy/>
  <cp:lastPrinted>2026-04-08T20:49:32Z</cp:lastPrinted>
  <dcterms:modified xsi:type="dcterms:W3CDTF">2026-04-08T20:49:45Z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